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3073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Joint Hypermobility</w:t>
      </w:r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 xml:space="preserve">) – “Rheumatology” and mark referral “Suspected </w:t>
      </w:r>
      <w:r w:rsidR="0030733E">
        <w:rPr>
          <w:rFonts w:ascii="Times New Roman" w:hAnsi="Times New Roman" w:cs="Times New Roman"/>
          <w:b/>
          <w:sz w:val="24"/>
          <w:szCs w:val="24"/>
        </w:rPr>
        <w:t>Joint Hypermobility</w:t>
      </w:r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E284B" w:rsidTr="004357A8">
        <w:tc>
          <w:tcPr>
            <w:tcW w:w="10682" w:type="dxa"/>
            <w:gridSpan w:val="2"/>
          </w:tcPr>
          <w:p w:rsidR="00AE284B" w:rsidRPr="00077DEF" w:rsidRDefault="00AE284B" w:rsidP="004357A8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AE284B" w:rsidTr="004357A8"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AE284B" w:rsidRPr="00077DEF" w:rsidRDefault="00AE284B" w:rsidP="004357A8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AE284B" w:rsidRPr="00B754E8" w:rsidRDefault="00AE28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E284B" w:rsidRDefault="00AE284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0733E" w:rsidTr="00B45F74">
        <w:tc>
          <w:tcPr>
            <w:tcW w:w="10682" w:type="dxa"/>
          </w:tcPr>
          <w:p w:rsidR="0030733E" w:rsidRPr="005A3178" w:rsidRDefault="0030733E" w:rsidP="00110251">
            <w:pPr>
              <w:rPr>
                <w:i/>
              </w:rPr>
            </w:pPr>
          </w:p>
        </w:tc>
      </w:tr>
      <w:tr w:rsidR="0030733E" w:rsidTr="00861D5C">
        <w:tc>
          <w:tcPr>
            <w:tcW w:w="10682" w:type="dxa"/>
          </w:tcPr>
          <w:p w:rsidR="0030733E" w:rsidRPr="0030733E" w:rsidRDefault="0030733E" w:rsidP="0030733E">
            <w:pPr>
              <w:rPr>
                <w:i/>
                <w:sz w:val="24"/>
                <w:szCs w:val="24"/>
              </w:rPr>
            </w:pPr>
            <w:r w:rsidRPr="0030733E">
              <w:rPr>
                <w:i/>
                <w:sz w:val="24"/>
                <w:szCs w:val="24"/>
              </w:rPr>
              <w:t>The vast majority of adults with musculoskeletal hypermobility do not require further investigations or onwards referral</w:t>
            </w:r>
          </w:p>
          <w:p w:rsidR="0030733E" w:rsidRPr="0030733E" w:rsidRDefault="0030733E" w:rsidP="0030733E">
            <w:pPr>
              <w:rPr>
                <w:i/>
                <w:sz w:val="24"/>
                <w:szCs w:val="24"/>
              </w:rPr>
            </w:pPr>
            <w:r w:rsidRPr="0030733E">
              <w:rPr>
                <w:i/>
                <w:sz w:val="24"/>
                <w:szCs w:val="24"/>
              </w:rPr>
              <w:t>A small number of adults may require either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30733E">
              <w:rPr>
                <w:i/>
                <w:sz w:val="24"/>
                <w:szCs w:val="24"/>
              </w:rPr>
              <w:t>An echo and reassurance if normal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30733E">
              <w:rPr>
                <w:i/>
                <w:sz w:val="24"/>
                <w:szCs w:val="24"/>
              </w:rPr>
              <w:t>Referral straight to clinical genetics at the BRI</w:t>
            </w:r>
          </w:p>
          <w:p w:rsidR="0030733E" w:rsidRPr="0030733E" w:rsidRDefault="0030733E" w:rsidP="0011025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30733E">
              <w:rPr>
                <w:i/>
                <w:sz w:val="24"/>
                <w:szCs w:val="24"/>
              </w:rPr>
              <w:t>Referral to a specialist Congenital heart disease clinic at the BRI</w:t>
            </w:r>
          </w:p>
          <w:p w:rsidR="0030733E" w:rsidRPr="0030733E" w:rsidRDefault="0030733E" w:rsidP="0030733E">
            <w:pPr>
              <w:pStyle w:val="ListParagraph"/>
              <w:rPr>
                <w:i/>
              </w:rPr>
            </w:pPr>
          </w:p>
        </w:tc>
      </w:tr>
    </w:tbl>
    <w:p w:rsidR="00AE284B" w:rsidRDefault="00AE284B" w:rsidP="00AE284B">
      <w:pPr>
        <w:rPr>
          <w:rFonts w:cstheme="minorHAnsi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70F09" w:rsidTr="004357A8">
        <w:tc>
          <w:tcPr>
            <w:tcW w:w="10682" w:type="dxa"/>
          </w:tcPr>
          <w:p w:rsidR="00270F09" w:rsidRPr="0030733E" w:rsidRDefault="0030733E" w:rsidP="007F7B52">
            <w:pPr>
              <w:rPr>
                <w:b/>
                <w:sz w:val="24"/>
                <w:szCs w:val="24"/>
              </w:rPr>
            </w:pPr>
            <w:r w:rsidRPr="0030733E">
              <w:rPr>
                <w:b/>
                <w:sz w:val="24"/>
                <w:szCs w:val="24"/>
              </w:rPr>
              <w:t xml:space="preserve">Simple hypermobility with more widespread features – Consider referral to specialist physiotherapy in RNHRD or RNHRD clinicians if diagnostic </w:t>
            </w:r>
            <w:r>
              <w:rPr>
                <w:b/>
                <w:sz w:val="24"/>
                <w:szCs w:val="24"/>
              </w:rPr>
              <w:t>uncertainty</w:t>
            </w:r>
            <w:r w:rsidRPr="0030733E">
              <w:rPr>
                <w:b/>
                <w:sz w:val="24"/>
                <w:szCs w:val="24"/>
              </w:rPr>
              <w:t>.</w:t>
            </w:r>
          </w:p>
        </w:tc>
      </w:tr>
      <w:tr w:rsidR="00270F09" w:rsidTr="004357A8">
        <w:tc>
          <w:tcPr>
            <w:tcW w:w="10682" w:type="dxa"/>
          </w:tcPr>
          <w:p w:rsidR="0030733E" w:rsidRPr="0030733E" w:rsidRDefault="0030733E" w:rsidP="003073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Widespread musculoskeletal hypermobility (more than 4 joints) PLUS one or more of</w:t>
            </w:r>
          </w:p>
          <w:p w:rsidR="0030733E" w:rsidRPr="0030733E" w:rsidRDefault="0030733E" w:rsidP="0030733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Joint pain, particularly in hypermobile weight-bearing joints</w:t>
            </w:r>
            <w:r w:rsidRPr="0030733E">
              <w:rPr>
                <w:sz w:val="24"/>
                <w:szCs w:val="24"/>
              </w:rPr>
              <w:t xml:space="preserve"> □</w:t>
            </w:r>
          </w:p>
          <w:p w:rsidR="0030733E" w:rsidRPr="0030733E" w:rsidRDefault="0030733E" w:rsidP="0030733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Functional difficulties</w:t>
            </w:r>
            <w:r w:rsidRPr="0030733E">
              <w:rPr>
                <w:sz w:val="24"/>
                <w:szCs w:val="24"/>
              </w:rPr>
              <w:t xml:space="preserve"> </w:t>
            </w:r>
            <w:r w:rsidRPr="0030733E">
              <w:rPr>
                <w:sz w:val="24"/>
                <w:szCs w:val="24"/>
              </w:rPr>
              <w:t>□</w:t>
            </w:r>
          </w:p>
          <w:p w:rsidR="00270F09" w:rsidRPr="0030733E" w:rsidRDefault="0030733E" w:rsidP="0030733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Poor core strength and balance</w:t>
            </w:r>
            <w:r w:rsidRPr="0030733E">
              <w:rPr>
                <w:sz w:val="24"/>
                <w:szCs w:val="24"/>
              </w:rPr>
              <w:t xml:space="preserve"> </w:t>
            </w:r>
            <w:r w:rsidRPr="0030733E">
              <w:rPr>
                <w:sz w:val="24"/>
                <w:szCs w:val="24"/>
              </w:rPr>
              <w:t>□</w:t>
            </w:r>
          </w:p>
        </w:tc>
      </w:tr>
    </w:tbl>
    <w:p w:rsidR="0030733E" w:rsidRDefault="0030733E">
      <w:pPr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AE284B" w:rsidRPr="00623C6E" w:rsidRDefault="00E4024A">
      <w:pPr>
        <w:rPr>
          <w:rFonts w:cstheme="minorHAnsi"/>
          <w:i/>
          <w:sz w:val="24"/>
          <w:szCs w:val="24"/>
        </w:rPr>
      </w:pPr>
      <w:r w:rsidRPr="0036298C">
        <w:rPr>
          <w:rFonts w:cstheme="minorHAnsi"/>
          <w:i/>
          <w:sz w:val="24"/>
          <w:szCs w:val="24"/>
        </w:rPr>
        <w:t>Please include past medical history and medication list</w:t>
      </w: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Default="00B754E8">
      <w:pPr>
        <w:rPr>
          <w:rFonts w:cstheme="minorHAnsi"/>
          <w:i/>
        </w:rPr>
      </w:pPr>
    </w:p>
    <w:p w:rsidR="0030733E" w:rsidRDefault="0030733E">
      <w:pPr>
        <w:rPr>
          <w:rFonts w:cstheme="minorHAnsi"/>
          <w:i/>
        </w:rPr>
      </w:pPr>
    </w:p>
    <w:p w:rsidR="0030733E" w:rsidRPr="0030733E" w:rsidRDefault="0030733E">
      <w:pPr>
        <w:rPr>
          <w:rFonts w:cstheme="minorHAnsi"/>
          <w:b/>
          <w:i/>
          <w:sz w:val="28"/>
          <w:szCs w:val="28"/>
        </w:rPr>
      </w:pPr>
      <w:r w:rsidRPr="0030733E">
        <w:rPr>
          <w:rFonts w:cstheme="minorHAnsi"/>
          <w:b/>
          <w:i/>
          <w:sz w:val="28"/>
          <w:szCs w:val="28"/>
        </w:rPr>
        <w:lastRenderedPageBreak/>
        <w:t>Further Guidance on management of patients with hypermobility requiring alternative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733E" w:rsidTr="0030733E">
        <w:tc>
          <w:tcPr>
            <w:tcW w:w="10682" w:type="dxa"/>
          </w:tcPr>
          <w:p w:rsidR="0030733E" w:rsidRPr="0030733E" w:rsidRDefault="0030733E" w:rsidP="0030733E">
            <w:pPr>
              <w:rPr>
                <w:b/>
                <w:sz w:val="24"/>
                <w:szCs w:val="24"/>
              </w:rPr>
            </w:pPr>
            <w:r w:rsidRPr="0030733E">
              <w:rPr>
                <w:b/>
                <w:sz w:val="24"/>
                <w:szCs w:val="24"/>
              </w:rPr>
              <w:t xml:space="preserve">Simple hypermobility – Reassure and de-medicalisation and </w:t>
            </w:r>
            <w:proofErr w:type="gramStart"/>
            <w:r w:rsidRPr="0030733E">
              <w:rPr>
                <w:b/>
                <w:sz w:val="24"/>
                <w:szCs w:val="24"/>
              </w:rPr>
              <w:t>advise</w:t>
            </w:r>
            <w:proofErr w:type="gramEnd"/>
            <w:r w:rsidRPr="0030733E">
              <w:rPr>
                <w:b/>
                <w:sz w:val="24"/>
                <w:szCs w:val="24"/>
              </w:rPr>
              <w:t xml:space="preserve"> patient to keep active. No physiotherapy necessary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4"/>
              </w:numPr>
            </w:pPr>
            <w:r w:rsidRPr="0030733E">
              <w:rPr>
                <w:sz w:val="24"/>
                <w:szCs w:val="24"/>
              </w:rPr>
              <w:t>Widespread musculoskeletal hypermobility (</w:t>
            </w:r>
            <w:proofErr w:type="spellStart"/>
            <w:r w:rsidRPr="0030733E">
              <w:rPr>
                <w:sz w:val="24"/>
                <w:szCs w:val="24"/>
              </w:rPr>
              <w:t>eg</w:t>
            </w:r>
            <w:proofErr w:type="spellEnd"/>
            <w:r w:rsidRPr="0030733E">
              <w:rPr>
                <w:sz w:val="24"/>
                <w:szCs w:val="24"/>
              </w:rPr>
              <w:t xml:space="preserve"> more than 4 joints) without significant pain or functional difficulties</w:t>
            </w:r>
          </w:p>
        </w:tc>
      </w:tr>
    </w:tbl>
    <w:p w:rsidR="0030733E" w:rsidRDefault="0030733E">
      <w:pPr>
        <w:rPr>
          <w:rFonts w:cstheme="minorHAnsi"/>
          <w:b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0733E" w:rsidTr="004357A8">
        <w:tc>
          <w:tcPr>
            <w:tcW w:w="10682" w:type="dxa"/>
          </w:tcPr>
          <w:p w:rsidR="0030733E" w:rsidRPr="0030733E" w:rsidRDefault="0030733E" w:rsidP="004357A8">
            <w:pPr>
              <w:rPr>
                <w:b/>
                <w:sz w:val="24"/>
                <w:szCs w:val="24"/>
              </w:rPr>
            </w:pPr>
            <w:r w:rsidRPr="0030733E">
              <w:rPr>
                <w:b/>
                <w:sz w:val="24"/>
                <w:szCs w:val="24"/>
              </w:rPr>
              <w:t>Features of widespread pain or psychological stress – consider symptom management and referral to pain team for chronic pain management and chronic fatigue services. Consider psychological intervention or IAPT services for mood disturbance</w:t>
            </w:r>
          </w:p>
        </w:tc>
      </w:tr>
      <w:tr w:rsidR="0030733E" w:rsidTr="004357A8">
        <w:tc>
          <w:tcPr>
            <w:tcW w:w="10682" w:type="dxa"/>
          </w:tcPr>
          <w:p w:rsidR="0030733E" w:rsidRPr="0030733E" w:rsidRDefault="0030733E" w:rsidP="004357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Widespread pain without hypermobility</w:t>
            </w:r>
          </w:p>
          <w:p w:rsidR="0030733E" w:rsidRPr="0030733E" w:rsidRDefault="0030733E" w:rsidP="004357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Pain not confined to joints</w:t>
            </w:r>
          </w:p>
          <w:p w:rsidR="0030733E" w:rsidRPr="0030733E" w:rsidRDefault="0030733E" w:rsidP="004357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Emotional distress</w:t>
            </w:r>
          </w:p>
          <w:p w:rsidR="0030733E" w:rsidRPr="0030733E" w:rsidRDefault="0030733E" w:rsidP="004357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Poor sleep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 xml:space="preserve">Psychosocial issues </w:t>
            </w:r>
          </w:p>
        </w:tc>
      </w:tr>
    </w:tbl>
    <w:p w:rsidR="0030733E" w:rsidRDefault="0030733E">
      <w:pPr>
        <w:rPr>
          <w:rFonts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733E" w:rsidTr="0030733E">
        <w:tc>
          <w:tcPr>
            <w:tcW w:w="10682" w:type="dxa"/>
          </w:tcPr>
          <w:p w:rsidR="0030733E" w:rsidRPr="0030733E" w:rsidRDefault="0030733E" w:rsidP="0030733E">
            <w:pPr>
              <w:rPr>
                <w:b/>
                <w:sz w:val="24"/>
                <w:szCs w:val="24"/>
              </w:rPr>
            </w:pPr>
            <w:r w:rsidRPr="0030733E">
              <w:rPr>
                <w:b/>
                <w:sz w:val="24"/>
                <w:szCs w:val="24"/>
              </w:rPr>
              <w:t>Referral to clinical genetics (Department of Clinical Genetics, St Michaels Hospital):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Personal history of aneurysm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Personal history of dissection of artery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More than 7 long bone fractures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Obstetric history of uterine rupture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More than 7 long bone fractures in a close relative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</w:pPr>
            <w:r w:rsidRPr="0030733E">
              <w:rPr>
                <w:sz w:val="24"/>
                <w:szCs w:val="24"/>
              </w:rPr>
              <w:t xml:space="preserve">True cutis </w:t>
            </w:r>
            <w:proofErr w:type="spellStart"/>
            <w:r w:rsidRPr="0030733E">
              <w:rPr>
                <w:sz w:val="24"/>
                <w:szCs w:val="24"/>
              </w:rPr>
              <w:t>laxa</w:t>
            </w:r>
            <w:proofErr w:type="spellEnd"/>
            <w:r w:rsidRPr="0030733E">
              <w:rPr>
                <w:sz w:val="24"/>
                <w:szCs w:val="24"/>
              </w:rPr>
              <w:t xml:space="preserve"> (not soft skin) – if really extreme and with other physical signs</w:t>
            </w:r>
          </w:p>
        </w:tc>
      </w:tr>
    </w:tbl>
    <w:p w:rsidR="0030733E" w:rsidRDefault="0030733E">
      <w:pPr>
        <w:rPr>
          <w:rFonts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733E" w:rsidTr="0030733E">
        <w:tc>
          <w:tcPr>
            <w:tcW w:w="10682" w:type="dxa"/>
          </w:tcPr>
          <w:p w:rsidR="0030733E" w:rsidRPr="0030733E" w:rsidRDefault="0030733E" w:rsidP="0030733E">
            <w:pPr>
              <w:rPr>
                <w:b/>
                <w:sz w:val="24"/>
                <w:szCs w:val="24"/>
              </w:rPr>
            </w:pPr>
            <w:r w:rsidRPr="0030733E">
              <w:rPr>
                <w:b/>
                <w:sz w:val="24"/>
                <w:szCs w:val="24"/>
              </w:rPr>
              <w:t>Referral to CHDC service – Dr Graham Stuart, Consultant Cardiologist (Congenital heart disease), congenital heart centre, Bristol heart institute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Personal history of aneurysm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Personal history of dissection of artery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Abnormal aortic root on echocardiogram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FH of unexplained sudden death before aged 50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FH of thoracic aneurysm or dissection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FH of at least 2 relatives (one first degree) with aneurysm or dissection at any age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Abnormal echo after referral for cardiac murmur</w:t>
            </w:r>
          </w:p>
        </w:tc>
      </w:tr>
    </w:tbl>
    <w:p w:rsidR="0030733E" w:rsidRDefault="0030733E">
      <w:pPr>
        <w:rPr>
          <w:rFonts w:cstheme="minorHAns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0733E" w:rsidTr="0030733E">
        <w:tc>
          <w:tcPr>
            <w:tcW w:w="10682" w:type="dxa"/>
          </w:tcPr>
          <w:p w:rsidR="0030733E" w:rsidRPr="0030733E" w:rsidRDefault="0030733E" w:rsidP="0030733E">
            <w:pPr>
              <w:rPr>
                <w:b/>
                <w:sz w:val="24"/>
                <w:szCs w:val="24"/>
              </w:rPr>
            </w:pPr>
            <w:r w:rsidRPr="0030733E">
              <w:rPr>
                <w:b/>
                <w:sz w:val="24"/>
                <w:szCs w:val="24"/>
              </w:rPr>
              <w:t xml:space="preserve">Referral for echo to assess aortic root – use local services. Put on referral form: “specialist echo required to assess aortic root. Possible genetic collagen abnormality such as </w:t>
            </w:r>
            <w:proofErr w:type="spellStart"/>
            <w:r w:rsidRPr="0030733E">
              <w:rPr>
                <w:b/>
                <w:sz w:val="24"/>
                <w:szCs w:val="24"/>
              </w:rPr>
              <w:t>Marfans</w:t>
            </w:r>
            <w:proofErr w:type="spellEnd"/>
            <w:r w:rsidRPr="0030733E">
              <w:rPr>
                <w:b/>
                <w:sz w:val="24"/>
                <w:szCs w:val="24"/>
              </w:rPr>
              <w:t xml:space="preserve"> syndrome”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733E">
              <w:rPr>
                <w:sz w:val="24"/>
                <w:szCs w:val="24"/>
              </w:rPr>
              <w:t>Personal history of spontaneous pneumothorax</w:t>
            </w:r>
          </w:p>
          <w:p w:rsidR="0030733E" w:rsidRPr="0030733E" w:rsidRDefault="0030733E" w:rsidP="0030733E">
            <w:pPr>
              <w:pStyle w:val="ListParagraph"/>
              <w:numPr>
                <w:ilvl w:val="0"/>
                <w:numId w:val="5"/>
              </w:numPr>
            </w:pPr>
            <w:r w:rsidRPr="0030733E">
              <w:rPr>
                <w:sz w:val="24"/>
                <w:szCs w:val="24"/>
              </w:rPr>
              <w:t>Cardiac murmur</w:t>
            </w:r>
            <w:r>
              <w:t xml:space="preserve"> </w:t>
            </w:r>
          </w:p>
        </w:tc>
      </w:tr>
    </w:tbl>
    <w:p w:rsidR="0030733E" w:rsidRPr="0030733E" w:rsidRDefault="0030733E">
      <w:pPr>
        <w:rPr>
          <w:rFonts w:cstheme="minorHAnsi"/>
          <w:b/>
          <w:i/>
        </w:rPr>
      </w:pPr>
    </w:p>
    <w:sectPr w:rsidR="0030733E" w:rsidRPr="0030733E" w:rsidSect="00AF5467">
      <w:headerReference w:type="default" r:id="rId8"/>
      <w:footerReference w:type="default" r:id="rId9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2A"/>
    <w:multiLevelType w:val="hybridMultilevel"/>
    <w:tmpl w:val="ED4E7E9C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01CF"/>
    <w:multiLevelType w:val="hybridMultilevel"/>
    <w:tmpl w:val="F8A0B20A"/>
    <w:lvl w:ilvl="0" w:tplc="8AD20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784"/>
    <w:multiLevelType w:val="hybridMultilevel"/>
    <w:tmpl w:val="72EE8DEE"/>
    <w:lvl w:ilvl="0" w:tplc="77568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F213E"/>
    <w:multiLevelType w:val="hybridMultilevel"/>
    <w:tmpl w:val="E8941916"/>
    <w:lvl w:ilvl="0" w:tplc="B72E0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974C6"/>
    <w:multiLevelType w:val="hybridMultilevel"/>
    <w:tmpl w:val="49780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077DEF"/>
    <w:rsid w:val="00270F09"/>
    <w:rsid w:val="0030733E"/>
    <w:rsid w:val="0036298C"/>
    <w:rsid w:val="00623C6E"/>
    <w:rsid w:val="007B24D8"/>
    <w:rsid w:val="008A78A4"/>
    <w:rsid w:val="00AE284B"/>
    <w:rsid w:val="00AF5467"/>
    <w:rsid w:val="00B754E8"/>
    <w:rsid w:val="00E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  <w:style w:type="paragraph" w:styleId="ListParagraph">
    <w:name w:val="List Paragraph"/>
    <w:basedOn w:val="Normal"/>
    <w:uiPriority w:val="34"/>
    <w:qFormat/>
    <w:rsid w:val="00A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2</cp:revision>
  <dcterms:created xsi:type="dcterms:W3CDTF">2021-05-27T13:43:00Z</dcterms:created>
  <dcterms:modified xsi:type="dcterms:W3CDTF">2021-05-27T13:43:00Z</dcterms:modified>
</cp:coreProperties>
</file>