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49049E">
              <w:rPr>
                <w:rFonts w:ascii="Arial" w:hAnsi="Arial" w:cs="Arial"/>
                <w:sz w:val="20"/>
                <w:szCs w:val="20"/>
              </w:rPr>
              <w:t xml:space="preserve"> ED, ONC </w:t>
            </w:r>
            <w:r w:rsidR="00171C3C">
              <w:rPr>
                <w:rFonts w:ascii="Arial" w:hAnsi="Arial" w:cs="Arial"/>
                <w:sz w:val="20"/>
                <w:szCs w:val="20"/>
              </w:rPr>
              <w:t>OP</w:t>
            </w:r>
            <w:r w:rsidR="0049049E">
              <w:rPr>
                <w:rFonts w:ascii="Arial" w:hAnsi="Arial" w:cs="Arial"/>
                <w:sz w:val="20"/>
                <w:szCs w:val="20"/>
              </w:rPr>
              <w:t>, MAU, Children’s ward</w:t>
            </w:r>
            <w:r w:rsidR="00E855F9">
              <w:rPr>
                <w:rFonts w:ascii="Arial" w:hAnsi="Arial" w:cs="Arial"/>
                <w:sz w:val="20"/>
                <w:szCs w:val="20"/>
              </w:rPr>
              <w:t>, Maternity services</w:t>
            </w:r>
          </w:p>
        </w:tc>
        <w:tc>
          <w:tcPr>
            <w:tcW w:w="6956" w:type="dxa"/>
          </w:tcPr>
          <w:p w:rsidR="00A83620" w:rsidRPr="00123098" w:rsidRDefault="00E95D5F" w:rsidP="0049049E">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49049E">
              <w:rPr>
                <w:rFonts w:ascii="Arial" w:hAnsi="Arial" w:cs="Arial"/>
                <w:b/>
                <w:sz w:val="20"/>
                <w:szCs w:val="20"/>
              </w:rPr>
              <w:t>SOP/POCT/69/1</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171C3C">
              <w:rPr>
                <w:rFonts w:ascii="Arial" w:hAnsi="Arial" w:cs="Arial"/>
                <w:sz w:val="20"/>
                <w:szCs w:val="20"/>
              </w:rPr>
              <w:t xml:space="preserve"> Nicola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49049E">
              <w:rPr>
                <w:rFonts w:ascii="Arial" w:hAnsi="Arial" w:cs="Arial"/>
                <w:sz w:val="20"/>
                <w:szCs w:val="20"/>
              </w:rPr>
              <w:t xml:space="preserve"> 12</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171C3C">
              <w:rPr>
                <w:rFonts w:ascii="Arial" w:hAnsi="Arial" w:cs="Arial"/>
                <w:sz w:val="20"/>
                <w:szCs w:val="20"/>
              </w:rPr>
              <w:t xml:space="preserve"> 25/02/2021</w:t>
            </w:r>
          </w:p>
        </w:tc>
        <w:tc>
          <w:tcPr>
            <w:tcW w:w="6956" w:type="dxa"/>
          </w:tcPr>
          <w:p w:rsidR="00A83620" w:rsidRPr="00123098" w:rsidRDefault="004E0EE7" w:rsidP="0049049E">
            <w:pPr>
              <w:rPr>
                <w:rFonts w:ascii="Arial" w:hAnsi="Arial" w:cs="Arial"/>
                <w:sz w:val="20"/>
                <w:szCs w:val="20"/>
              </w:rPr>
            </w:pPr>
            <w:r w:rsidRPr="004E0EE7">
              <w:rPr>
                <w:rFonts w:ascii="Arial" w:hAnsi="Arial" w:cs="Arial"/>
                <w:sz w:val="20"/>
                <w:szCs w:val="20"/>
              </w:rPr>
              <w:t>Informed QM of any Risk Score &gt;9 (</w:t>
            </w:r>
            <w:r w:rsidR="0049049E">
              <w:rPr>
                <w:rFonts w:ascii="Arial" w:hAnsi="Arial" w:cs="Arial"/>
                <w:sz w:val="20"/>
                <w:szCs w:val="20"/>
              </w:rPr>
              <w:t>NH, approval by quality manager</w:t>
            </w:r>
            <w:r w:rsidRPr="004E0EE7">
              <w:rPr>
                <w:rFonts w:ascii="Arial" w:hAnsi="Arial" w:cs="Arial"/>
                <w:sz w:val="20"/>
                <w:szCs w:val="20"/>
              </w:rPr>
              <w:t>):</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0" w:type="auto"/>
        <w:tblLayout w:type="fixed"/>
        <w:tblLook w:val="04A0" w:firstRow="1" w:lastRow="0" w:firstColumn="1" w:lastColumn="0" w:noHBand="0" w:noVBand="1"/>
      </w:tblPr>
      <w:tblGrid>
        <w:gridCol w:w="3031"/>
        <w:gridCol w:w="2747"/>
        <w:gridCol w:w="439"/>
        <w:gridCol w:w="439"/>
        <w:gridCol w:w="550"/>
        <w:gridCol w:w="3108"/>
        <w:gridCol w:w="2144"/>
        <w:gridCol w:w="458"/>
        <w:gridCol w:w="458"/>
        <w:gridCol w:w="579"/>
      </w:tblGrid>
      <w:tr w:rsidR="00283DF1" w:rsidRPr="00197D59" w:rsidTr="0012333A">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310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14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2F2CF9" w:rsidRPr="00197D59" w:rsidTr="0012333A">
        <w:trPr>
          <w:trHeight w:val="247"/>
        </w:trPr>
        <w:tc>
          <w:tcPr>
            <w:tcW w:w="3031" w:type="dxa"/>
          </w:tcPr>
          <w:p w:rsidR="002F2CF9" w:rsidRPr="00B32F40" w:rsidRDefault="002F2CF9" w:rsidP="006A1EE9">
            <w:pPr>
              <w:rPr>
                <w:rFonts w:ascii="Arial" w:hAnsi="Arial" w:cs="Arial"/>
                <w:sz w:val="20"/>
                <w:szCs w:val="20"/>
              </w:rPr>
            </w:pPr>
            <w:r>
              <w:rPr>
                <w:rFonts w:ascii="Arial" w:hAnsi="Arial" w:cs="Arial"/>
                <w:sz w:val="20"/>
                <w:szCs w:val="20"/>
              </w:rPr>
              <w:t>There is an electrical hazard with a risk of electrocution to the staff using the analyser.</w:t>
            </w:r>
          </w:p>
        </w:tc>
        <w:tc>
          <w:tcPr>
            <w:tcW w:w="2747" w:type="dxa"/>
          </w:tcPr>
          <w:p w:rsidR="002F2CF9" w:rsidRDefault="002F2CF9" w:rsidP="006A1EE9">
            <w:pPr>
              <w:rPr>
                <w:rFonts w:ascii="Arial" w:hAnsi="Arial" w:cs="Arial"/>
                <w:iCs/>
                <w:sz w:val="20"/>
                <w:szCs w:val="20"/>
              </w:rPr>
            </w:pPr>
            <w:r w:rsidRPr="00B32F40">
              <w:rPr>
                <w:rFonts w:ascii="Arial" w:hAnsi="Arial" w:cs="Arial"/>
                <w:iCs/>
                <w:sz w:val="20"/>
                <w:szCs w:val="20"/>
              </w:rPr>
              <w:t>Analysers will be included in the wards PAT testing. Only trained staff should be using the analyser</w:t>
            </w:r>
            <w:r>
              <w:rPr>
                <w:rFonts w:ascii="Arial" w:hAnsi="Arial" w:cs="Arial"/>
                <w:iCs/>
                <w:sz w:val="20"/>
                <w:szCs w:val="20"/>
              </w:rPr>
              <w:t>. Water is not to be used on the analyser only dampened tissue or wipes (see SOP).</w:t>
            </w:r>
          </w:p>
          <w:p w:rsidR="00DB196B" w:rsidRPr="00B32F40" w:rsidRDefault="00DB196B" w:rsidP="006A1EE9">
            <w:pPr>
              <w:rPr>
                <w:rFonts w:ascii="Arial" w:hAnsi="Arial" w:cs="Arial"/>
                <w:sz w:val="20"/>
                <w:szCs w:val="20"/>
              </w:rPr>
            </w:pPr>
          </w:p>
        </w:tc>
        <w:tc>
          <w:tcPr>
            <w:tcW w:w="439" w:type="dxa"/>
            <w:shd w:val="clear" w:color="auto" w:fill="auto"/>
          </w:tcPr>
          <w:p w:rsidR="002F2CF9" w:rsidRDefault="002F2CF9" w:rsidP="002F2CF9">
            <w:pPr>
              <w:jc w:val="center"/>
              <w:rPr>
                <w:rFonts w:ascii="Arial" w:hAnsi="Arial" w:cs="Arial"/>
                <w:sz w:val="18"/>
                <w:szCs w:val="20"/>
              </w:rPr>
            </w:pPr>
            <w:r>
              <w:rPr>
                <w:rFonts w:ascii="Arial" w:hAnsi="Arial" w:cs="Arial"/>
                <w:sz w:val="18"/>
                <w:szCs w:val="20"/>
              </w:rPr>
              <w:t>1</w:t>
            </w:r>
          </w:p>
          <w:p w:rsidR="002F2CF9" w:rsidRPr="00E75298" w:rsidRDefault="002F2CF9" w:rsidP="00DB196B">
            <w:pPr>
              <w:jc w:val="center"/>
              <w:rPr>
                <w:rFonts w:ascii="Arial" w:hAnsi="Arial" w:cs="Arial"/>
                <w:sz w:val="18"/>
                <w:szCs w:val="20"/>
              </w:rPr>
            </w:pPr>
          </w:p>
        </w:tc>
        <w:tc>
          <w:tcPr>
            <w:tcW w:w="439" w:type="dxa"/>
            <w:shd w:val="clear" w:color="auto" w:fill="auto"/>
          </w:tcPr>
          <w:p w:rsidR="002F2CF9" w:rsidRPr="00E75298" w:rsidRDefault="002F2CF9" w:rsidP="00282CA6">
            <w:pPr>
              <w:jc w:val="center"/>
              <w:rPr>
                <w:rFonts w:ascii="Arial" w:hAnsi="Arial" w:cs="Arial"/>
                <w:sz w:val="18"/>
                <w:szCs w:val="20"/>
              </w:rPr>
            </w:pPr>
            <w:r>
              <w:rPr>
                <w:rFonts w:ascii="Arial" w:hAnsi="Arial" w:cs="Arial"/>
                <w:sz w:val="18"/>
                <w:szCs w:val="20"/>
              </w:rPr>
              <w:t>5</w:t>
            </w:r>
          </w:p>
        </w:tc>
        <w:tc>
          <w:tcPr>
            <w:tcW w:w="550" w:type="dxa"/>
            <w:shd w:val="clear" w:color="auto" w:fill="auto"/>
          </w:tcPr>
          <w:p w:rsidR="002F2CF9" w:rsidRPr="00E75298" w:rsidRDefault="002F2CF9" w:rsidP="00282CA6">
            <w:pPr>
              <w:jc w:val="center"/>
              <w:rPr>
                <w:rFonts w:ascii="Arial" w:hAnsi="Arial" w:cs="Arial"/>
                <w:sz w:val="18"/>
                <w:szCs w:val="20"/>
              </w:rPr>
            </w:pPr>
            <w:r>
              <w:rPr>
                <w:rFonts w:ascii="Arial" w:hAnsi="Arial" w:cs="Arial"/>
                <w:sz w:val="18"/>
                <w:szCs w:val="20"/>
              </w:rPr>
              <w:t>5</w:t>
            </w:r>
          </w:p>
        </w:tc>
        <w:tc>
          <w:tcPr>
            <w:tcW w:w="3108" w:type="dxa"/>
          </w:tcPr>
          <w:p w:rsidR="002F2CF9" w:rsidRPr="00E75298" w:rsidRDefault="002F2CF9" w:rsidP="00E75298">
            <w:pPr>
              <w:rPr>
                <w:rFonts w:ascii="Arial" w:hAnsi="Arial" w:cs="Arial"/>
                <w:b/>
                <w:sz w:val="18"/>
                <w:szCs w:val="20"/>
              </w:rPr>
            </w:pPr>
            <w:r>
              <w:rPr>
                <w:rFonts w:ascii="Arial" w:hAnsi="Arial" w:cs="Arial"/>
                <w:b/>
                <w:sz w:val="18"/>
                <w:szCs w:val="20"/>
              </w:rPr>
              <w:t>N/A</w:t>
            </w:r>
          </w:p>
        </w:tc>
        <w:tc>
          <w:tcPr>
            <w:tcW w:w="2144" w:type="dxa"/>
          </w:tcPr>
          <w:p w:rsidR="002F2CF9" w:rsidRPr="00E75298" w:rsidRDefault="002F2CF9" w:rsidP="00A83620">
            <w:pPr>
              <w:rPr>
                <w:rFonts w:ascii="Arial" w:hAnsi="Arial" w:cs="Arial"/>
                <w:sz w:val="18"/>
                <w:szCs w:val="20"/>
              </w:rPr>
            </w:pPr>
            <w:r>
              <w:rPr>
                <w:rFonts w:ascii="Arial" w:hAnsi="Arial" w:cs="Arial"/>
                <w:sz w:val="18"/>
                <w:szCs w:val="20"/>
              </w:rPr>
              <w:t>N/A</w:t>
            </w:r>
          </w:p>
        </w:tc>
        <w:tc>
          <w:tcPr>
            <w:tcW w:w="458" w:type="dxa"/>
            <w:shd w:val="clear" w:color="auto" w:fill="auto"/>
          </w:tcPr>
          <w:p w:rsidR="002F2CF9" w:rsidRPr="00E75298" w:rsidRDefault="002F2CF9" w:rsidP="00A83620">
            <w:pPr>
              <w:rPr>
                <w:rFonts w:ascii="Arial" w:hAnsi="Arial" w:cs="Arial"/>
                <w:sz w:val="18"/>
                <w:szCs w:val="20"/>
              </w:rPr>
            </w:pPr>
            <w:r>
              <w:rPr>
                <w:rFonts w:ascii="Arial" w:hAnsi="Arial" w:cs="Arial"/>
                <w:sz w:val="18"/>
                <w:szCs w:val="20"/>
              </w:rPr>
              <w:t>1</w:t>
            </w:r>
          </w:p>
        </w:tc>
        <w:tc>
          <w:tcPr>
            <w:tcW w:w="458" w:type="dxa"/>
            <w:shd w:val="clear" w:color="auto" w:fill="auto"/>
          </w:tcPr>
          <w:p w:rsidR="002F2CF9" w:rsidRPr="00E75298" w:rsidRDefault="002F2CF9" w:rsidP="00A83620">
            <w:pPr>
              <w:rPr>
                <w:rFonts w:ascii="Arial" w:hAnsi="Arial" w:cs="Arial"/>
                <w:sz w:val="18"/>
                <w:szCs w:val="20"/>
              </w:rPr>
            </w:pPr>
            <w:r>
              <w:rPr>
                <w:rFonts w:ascii="Arial" w:hAnsi="Arial" w:cs="Arial"/>
                <w:sz w:val="18"/>
                <w:szCs w:val="20"/>
              </w:rPr>
              <w:t>5</w:t>
            </w:r>
          </w:p>
        </w:tc>
        <w:tc>
          <w:tcPr>
            <w:tcW w:w="579" w:type="dxa"/>
            <w:shd w:val="clear" w:color="auto" w:fill="auto"/>
          </w:tcPr>
          <w:p w:rsidR="002F2CF9" w:rsidRPr="00E75298" w:rsidRDefault="002F2CF9" w:rsidP="00A83620">
            <w:pPr>
              <w:rPr>
                <w:rFonts w:ascii="Arial" w:hAnsi="Arial" w:cs="Arial"/>
                <w:sz w:val="18"/>
                <w:szCs w:val="20"/>
              </w:rPr>
            </w:pPr>
            <w:r>
              <w:rPr>
                <w:rFonts w:ascii="Arial" w:hAnsi="Arial" w:cs="Arial"/>
                <w:sz w:val="18"/>
                <w:szCs w:val="20"/>
              </w:rPr>
              <w:t>5</w:t>
            </w:r>
          </w:p>
        </w:tc>
      </w:tr>
      <w:tr w:rsidR="002F2CF9" w:rsidRPr="00197D59" w:rsidTr="0012333A">
        <w:tc>
          <w:tcPr>
            <w:tcW w:w="3031" w:type="dxa"/>
          </w:tcPr>
          <w:p w:rsidR="002F2CF9" w:rsidRDefault="002F2CF9" w:rsidP="006A1EE9">
            <w:pPr>
              <w:rPr>
                <w:rFonts w:ascii="Arial" w:hAnsi="Arial" w:cs="Arial"/>
                <w:sz w:val="20"/>
                <w:szCs w:val="20"/>
              </w:rPr>
            </w:pPr>
            <w:r>
              <w:rPr>
                <w:rFonts w:ascii="Arial" w:hAnsi="Arial" w:cs="Arial"/>
                <w:sz w:val="20"/>
                <w:szCs w:val="20"/>
              </w:rPr>
              <w:t xml:space="preserve">Sample collection, a patient who fits the criteria for a rapid swab may not be able to give a sample due to mental capacity, health conditions, or refuse. </w:t>
            </w:r>
          </w:p>
          <w:p w:rsidR="002F2CF9" w:rsidRDefault="002F2CF9" w:rsidP="006A1EE9">
            <w:pPr>
              <w:rPr>
                <w:rFonts w:ascii="Arial" w:hAnsi="Arial" w:cs="Arial"/>
                <w:sz w:val="20"/>
                <w:szCs w:val="20"/>
              </w:rPr>
            </w:pPr>
            <w:r>
              <w:rPr>
                <w:rFonts w:ascii="Arial" w:hAnsi="Arial" w:cs="Arial"/>
                <w:sz w:val="20"/>
                <w:szCs w:val="20"/>
              </w:rPr>
              <w:t>A risk to the patient and to other hospital patients from infection of COVID by not knowing the COVID status.</w:t>
            </w:r>
          </w:p>
          <w:p w:rsidR="002F2CF9" w:rsidRPr="00B13718" w:rsidRDefault="002F2CF9" w:rsidP="00DB196B">
            <w:pPr>
              <w:rPr>
                <w:rFonts w:ascii="Arial" w:hAnsi="Arial" w:cs="Arial"/>
                <w:sz w:val="20"/>
                <w:szCs w:val="20"/>
              </w:rPr>
            </w:pPr>
          </w:p>
        </w:tc>
        <w:tc>
          <w:tcPr>
            <w:tcW w:w="2747" w:type="dxa"/>
          </w:tcPr>
          <w:p w:rsidR="002F2CF9" w:rsidRDefault="002F2CF9" w:rsidP="006A1EE9">
            <w:pPr>
              <w:rPr>
                <w:rFonts w:ascii="Arial" w:hAnsi="Arial" w:cs="Arial"/>
                <w:iCs/>
                <w:sz w:val="20"/>
                <w:szCs w:val="20"/>
              </w:rPr>
            </w:pPr>
            <w:r>
              <w:rPr>
                <w:rFonts w:ascii="Arial" w:hAnsi="Arial" w:cs="Arial"/>
                <w:iCs/>
                <w:sz w:val="20"/>
                <w:szCs w:val="20"/>
              </w:rPr>
              <w:t>Patient would need to be managed clinically, there is only COVID tests available for patients via a swab sample.</w:t>
            </w:r>
          </w:p>
          <w:p w:rsidR="002F2CF9" w:rsidRDefault="002F2CF9" w:rsidP="006A1EE9">
            <w:pPr>
              <w:rPr>
                <w:b/>
                <w:sz w:val="24"/>
                <w:szCs w:val="24"/>
              </w:rPr>
            </w:pP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1</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3108" w:type="dxa"/>
          </w:tcPr>
          <w:p w:rsidR="002F2CF9" w:rsidRPr="00197D59" w:rsidRDefault="002F2CF9" w:rsidP="00282CA6">
            <w:pPr>
              <w:rPr>
                <w:rFonts w:ascii="Arial" w:hAnsi="Arial" w:cs="Arial"/>
                <w:sz w:val="20"/>
                <w:szCs w:val="20"/>
              </w:rPr>
            </w:pPr>
            <w:r>
              <w:rPr>
                <w:rFonts w:ascii="Arial" w:hAnsi="Arial" w:cs="Arial"/>
                <w:sz w:val="20"/>
                <w:szCs w:val="20"/>
              </w:rPr>
              <w:t>N/A</w:t>
            </w:r>
          </w:p>
        </w:tc>
        <w:tc>
          <w:tcPr>
            <w:tcW w:w="2144" w:type="dxa"/>
          </w:tcPr>
          <w:p w:rsidR="002F2CF9" w:rsidRPr="00197D59" w:rsidRDefault="002F2CF9" w:rsidP="00CB12D1">
            <w:pPr>
              <w:rPr>
                <w:rFonts w:ascii="Arial" w:hAnsi="Arial" w:cs="Arial"/>
                <w:sz w:val="20"/>
                <w:szCs w:val="20"/>
              </w:rPr>
            </w:pPr>
            <w:r>
              <w:rPr>
                <w:rFonts w:ascii="Arial" w:hAnsi="Arial" w:cs="Arial"/>
                <w:sz w:val="20"/>
                <w:szCs w:val="20"/>
              </w:rPr>
              <w:t>N/A</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1</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r>
      <w:tr w:rsidR="002F2CF9" w:rsidRPr="00197D59" w:rsidTr="0012333A">
        <w:tc>
          <w:tcPr>
            <w:tcW w:w="3031" w:type="dxa"/>
          </w:tcPr>
          <w:p w:rsidR="002F2CF9" w:rsidRPr="008F6A36" w:rsidRDefault="002F2CF9" w:rsidP="006A1EE9">
            <w:pPr>
              <w:rPr>
                <w:rFonts w:ascii="Arial" w:hAnsi="Arial" w:cs="Arial"/>
                <w:sz w:val="20"/>
                <w:szCs w:val="20"/>
              </w:rPr>
            </w:pPr>
            <w:r w:rsidRPr="008F6A36">
              <w:rPr>
                <w:rFonts w:ascii="Arial" w:hAnsi="Arial" w:cs="Arial"/>
                <w:sz w:val="20"/>
                <w:szCs w:val="20"/>
              </w:rPr>
              <w:t xml:space="preserve">Risk of incorrect results produced, un safe triaging of patients. This will affect staff and patients with a risk of transmitting COVID. </w:t>
            </w:r>
          </w:p>
          <w:p w:rsidR="002F2CF9" w:rsidRPr="008F6A36" w:rsidRDefault="002F2CF9" w:rsidP="006A1EE9">
            <w:pPr>
              <w:rPr>
                <w:rFonts w:ascii="Arial" w:hAnsi="Arial" w:cs="Arial"/>
                <w:sz w:val="20"/>
                <w:szCs w:val="20"/>
              </w:rPr>
            </w:pPr>
            <w:r w:rsidRPr="008F6A36">
              <w:rPr>
                <w:rFonts w:ascii="Arial" w:hAnsi="Arial" w:cs="Arial"/>
                <w:sz w:val="20"/>
                <w:szCs w:val="20"/>
              </w:rPr>
              <w:t xml:space="preserve">Incorrect results can lead to inappropriate use of hospital resources </w:t>
            </w:r>
            <w:proofErr w:type="spellStart"/>
            <w:r w:rsidRPr="008F6A36">
              <w:rPr>
                <w:rFonts w:ascii="Arial" w:hAnsi="Arial" w:cs="Arial"/>
                <w:sz w:val="20"/>
                <w:szCs w:val="20"/>
              </w:rPr>
              <w:t>ie</w:t>
            </w:r>
            <w:proofErr w:type="spellEnd"/>
            <w:r w:rsidRPr="008F6A36">
              <w:rPr>
                <w:rFonts w:ascii="Arial" w:hAnsi="Arial" w:cs="Arial"/>
                <w:sz w:val="20"/>
                <w:szCs w:val="20"/>
              </w:rPr>
              <w:t xml:space="preserve"> isolation side rooms.</w:t>
            </w:r>
          </w:p>
          <w:p w:rsidR="002F2CF9" w:rsidRDefault="002F2CF9" w:rsidP="006A1EE9">
            <w:pPr>
              <w:rPr>
                <w:b/>
                <w:sz w:val="24"/>
                <w:szCs w:val="24"/>
              </w:rPr>
            </w:pPr>
          </w:p>
        </w:tc>
        <w:tc>
          <w:tcPr>
            <w:tcW w:w="2747" w:type="dxa"/>
          </w:tcPr>
          <w:p w:rsidR="002F2CF9" w:rsidRDefault="002F2CF9" w:rsidP="006A1EE9">
            <w:pPr>
              <w:rPr>
                <w:rFonts w:ascii="Arial" w:eastAsia="Times New Roman" w:hAnsi="Arial" w:cs="Arial"/>
                <w:iCs/>
                <w:sz w:val="20"/>
                <w:szCs w:val="20"/>
              </w:rPr>
            </w:pPr>
            <w:r>
              <w:rPr>
                <w:rFonts w:ascii="Arial" w:eastAsia="Times New Roman" w:hAnsi="Arial" w:cs="Arial"/>
                <w:iCs/>
                <w:sz w:val="20"/>
                <w:szCs w:val="20"/>
              </w:rPr>
              <w:t xml:space="preserve">The manufacturer states </w:t>
            </w:r>
          </w:p>
          <w:p w:rsidR="002F2CF9"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sensitivity = 100%(Ct&lt;30)</w:t>
            </w:r>
          </w:p>
          <w:p w:rsidR="002F2CF9" w:rsidRPr="00ED1C76"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 xml:space="preserve">specificity = 98.38% </w:t>
            </w:r>
          </w:p>
          <w:p w:rsidR="002F2CF9" w:rsidRPr="00ED1C76"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PPV = 95.10%</w:t>
            </w:r>
          </w:p>
          <w:p w:rsidR="002F2CF9"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 xml:space="preserve">NPV = 96.37%. </w:t>
            </w:r>
          </w:p>
          <w:p w:rsidR="002F2CF9" w:rsidRPr="00ED1C76" w:rsidRDefault="002F2CF9" w:rsidP="006A1EE9">
            <w:pPr>
              <w:rPr>
                <w:rFonts w:ascii="Arial" w:eastAsia="Times New Roman" w:hAnsi="Arial" w:cs="Arial"/>
                <w:iCs/>
                <w:sz w:val="20"/>
                <w:szCs w:val="20"/>
              </w:rPr>
            </w:pPr>
          </w:p>
          <w:p w:rsidR="002F2CF9" w:rsidRDefault="002F2CF9" w:rsidP="006A1EE9">
            <w:pPr>
              <w:rPr>
                <w:rFonts w:ascii="Arial" w:eastAsia="Times New Roman" w:hAnsi="Arial" w:cs="Arial"/>
                <w:iCs/>
                <w:sz w:val="20"/>
                <w:szCs w:val="20"/>
              </w:rPr>
            </w:pPr>
            <w:r>
              <w:rPr>
                <w:rFonts w:ascii="Arial" w:eastAsia="Times New Roman" w:hAnsi="Arial" w:cs="Arial"/>
                <w:iCs/>
                <w:sz w:val="20"/>
                <w:szCs w:val="20"/>
              </w:rPr>
              <w:t xml:space="preserve">We found (n=30) (all </w:t>
            </w:r>
            <w:proofErr w:type="spellStart"/>
            <w:r>
              <w:rPr>
                <w:rFonts w:ascii="Arial" w:eastAsia="Times New Roman" w:hAnsi="Arial" w:cs="Arial"/>
                <w:iCs/>
                <w:sz w:val="20"/>
                <w:szCs w:val="20"/>
              </w:rPr>
              <w:t>ct</w:t>
            </w:r>
            <w:proofErr w:type="spellEnd"/>
            <w:r>
              <w:rPr>
                <w:rFonts w:ascii="Arial" w:eastAsia="Times New Roman" w:hAnsi="Arial" w:cs="Arial"/>
                <w:iCs/>
                <w:sz w:val="20"/>
                <w:szCs w:val="20"/>
              </w:rPr>
              <w:t xml:space="preserve"> values):</w:t>
            </w:r>
          </w:p>
          <w:p w:rsidR="002F2CF9" w:rsidRPr="00ED1C76" w:rsidRDefault="002F2CF9" w:rsidP="008F07A3">
            <w:pPr>
              <w:tabs>
                <w:tab w:val="right" w:pos="2531"/>
              </w:tabs>
              <w:rPr>
                <w:rFonts w:ascii="Arial" w:eastAsia="Times New Roman" w:hAnsi="Arial" w:cs="Arial"/>
                <w:iCs/>
                <w:sz w:val="20"/>
                <w:szCs w:val="20"/>
              </w:rPr>
            </w:pPr>
            <w:r w:rsidRPr="00ED1C76">
              <w:rPr>
                <w:rFonts w:ascii="Arial" w:eastAsia="Times New Roman" w:hAnsi="Arial" w:cs="Arial"/>
                <w:iCs/>
                <w:sz w:val="20"/>
                <w:szCs w:val="20"/>
              </w:rPr>
              <w:t xml:space="preserve">PPV </w:t>
            </w:r>
            <w:r>
              <w:rPr>
                <w:rFonts w:ascii="Arial" w:eastAsia="Times New Roman" w:hAnsi="Arial" w:cs="Arial"/>
                <w:iCs/>
                <w:sz w:val="20"/>
                <w:szCs w:val="20"/>
              </w:rPr>
              <w:t>= 100%</w:t>
            </w:r>
            <w:r w:rsidR="008F07A3">
              <w:rPr>
                <w:rFonts w:ascii="Arial" w:eastAsia="Times New Roman" w:hAnsi="Arial" w:cs="Arial"/>
                <w:iCs/>
                <w:sz w:val="20"/>
                <w:szCs w:val="20"/>
              </w:rPr>
              <w:tab/>
            </w:r>
          </w:p>
          <w:p w:rsidR="002F2CF9" w:rsidRPr="00ED1C76"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 xml:space="preserve">NPV </w:t>
            </w:r>
            <w:r>
              <w:rPr>
                <w:rFonts w:ascii="Arial" w:eastAsia="Times New Roman" w:hAnsi="Arial" w:cs="Arial"/>
                <w:iCs/>
                <w:sz w:val="20"/>
                <w:szCs w:val="20"/>
              </w:rPr>
              <w:t>= 73.68%</w:t>
            </w:r>
          </w:p>
          <w:p w:rsidR="002F2CF9" w:rsidRPr="00ED1C76"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Sensitivity</w:t>
            </w:r>
            <w:r>
              <w:rPr>
                <w:rFonts w:ascii="Arial" w:eastAsia="Times New Roman" w:hAnsi="Arial" w:cs="Arial"/>
                <w:iCs/>
                <w:sz w:val="20"/>
                <w:szCs w:val="20"/>
              </w:rPr>
              <w:t xml:space="preserve"> = 68.75%</w:t>
            </w:r>
          </w:p>
          <w:p w:rsidR="002F2CF9" w:rsidRDefault="002F2CF9" w:rsidP="006A1EE9">
            <w:pPr>
              <w:rPr>
                <w:rFonts w:ascii="Arial" w:eastAsia="Times New Roman" w:hAnsi="Arial" w:cs="Arial"/>
                <w:iCs/>
                <w:sz w:val="20"/>
                <w:szCs w:val="20"/>
              </w:rPr>
            </w:pPr>
            <w:r w:rsidRPr="00ED1C76">
              <w:rPr>
                <w:rFonts w:ascii="Arial" w:eastAsia="Times New Roman" w:hAnsi="Arial" w:cs="Arial"/>
                <w:iCs/>
                <w:sz w:val="20"/>
                <w:szCs w:val="20"/>
              </w:rPr>
              <w:t xml:space="preserve">Specificity </w:t>
            </w:r>
            <w:r>
              <w:rPr>
                <w:rFonts w:ascii="Arial" w:eastAsia="Times New Roman" w:hAnsi="Arial" w:cs="Arial"/>
                <w:iCs/>
                <w:sz w:val="20"/>
                <w:szCs w:val="20"/>
              </w:rPr>
              <w:t>= 100%</w:t>
            </w:r>
          </w:p>
          <w:p w:rsidR="002F2CF9" w:rsidRDefault="002F2CF9" w:rsidP="006A1EE9">
            <w:pPr>
              <w:rPr>
                <w:rFonts w:ascii="Arial" w:eastAsia="Times New Roman" w:hAnsi="Arial" w:cs="Arial"/>
                <w:iCs/>
                <w:sz w:val="20"/>
                <w:szCs w:val="20"/>
              </w:rPr>
            </w:pPr>
          </w:p>
          <w:p w:rsidR="002F2CF9" w:rsidRPr="008F6A36"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Ct&lt;30:</w:t>
            </w:r>
          </w:p>
          <w:p w:rsidR="002F2CF9" w:rsidRPr="008F6A36"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PPV</w:t>
            </w:r>
            <w:r>
              <w:rPr>
                <w:rFonts w:ascii="Arial" w:eastAsia="Times New Roman" w:hAnsi="Arial" w:cs="Arial"/>
                <w:iCs/>
                <w:sz w:val="20"/>
                <w:szCs w:val="20"/>
              </w:rPr>
              <w:t xml:space="preserve"> =</w:t>
            </w:r>
            <w:r w:rsidRPr="008F6A36">
              <w:rPr>
                <w:rFonts w:ascii="Arial" w:eastAsia="Times New Roman" w:hAnsi="Arial" w:cs="Arial"/>
                <w:iCs/>
                <w:sz w:val="20"/>
                <w:szCs w:val="20"/>
              </w:rPr>
              <w:t xml:space="preserve"> 100% </w:t>
            </w:r>
          </w:p>
          <w:p w:rsidR="002F2CF9" w:rsidRPr="008F6A36"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 xml:space="preserve">NPV </w:t>
            </w:r>
            <w:r>
              <w:rPr>
                <w:rFonts w:ascii="Arial" w:eastAsia="Times New Roman" w:hAnsi="Arial" w:cs="Arial"/>
                <w:iCs/>
                <w:sz w:val="20"/>
                <w:szCs w:val="20"/>
              </w:rPr>
              <w:t xml:space="preserve">= </w:t>
            </w:r>
            <w:r w:rsidRPr="008F6A36">
              <w:rPr>
                <w:rFonts w:ascii="Arial" w:eastAsia="Times New Roman" w:hAnsi="Arial" w:cs="Arial"/>
                <w:iCs/>
                <w:sz w:val="20"/>
                <w:szCs w:val="20"/>
              </w:rPr>
              <w:t xml:space="preserve">93.33% </w:t>
            </w:r>
          </w:p>
          <w:p w:rsidR="002F2CF9" w:rsidRPr="008F6A36"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Sensitivity</w:t>
            </w:r>
            <w:r>
              <w:rPr>
                <w:rFonts w:ascii="Arial" w:eastAsia="Times New Roman" w:hAnsi="Arial" w:cs="Arial"/>
                <w:iCs/>
                <w:sz w:val="20"/>
                <w:szCs w:val="20"/>
              </w:rPr>
              <w:t xml:space="preserve"> = </w:t>
            </w:r>
            <w:r w:rsidRPr="008F6A36">
              <w:rPr>
                <w:rFonts w:ascii="Arial" w:eastAsia="Times New Roman" w:hAnsi="Arial" w:cs="Arial"/>
                <w:iCs/>
                <w:sz w:val="20"/>
                <w:szCs w:val="20"/>
              </w:rPr>
              <w:t xml:space="preserve"> 91.67%</w:t>
            </w:r>
          </w:p>
          <w:p w:rsidR="002F2CF9" w:rsidRPr="008F6A36"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 xml:space="preserve">Specificity </w:t>
            </w:r>
            <w:r>
              <w:rPr>
                <w:rFonts w:ascii="Arial" w:eastAsia="Times New Roman" w:hAnsi="Arial" w:cs="Arial"/>
                <w:iCs/>
                <w:sz w:val="20"/>
                <w:szCs w:val="20"/>
              </w:rPr>
              <w:t xml:space="preserve">= </w:t>
            </w:r>
            <w:r w:rsidRPr="008F6A36">
              <w:rPr>
                <w:rFonts w:ascii="Arial" w:eastAsia="Times New Roman" w:hAnsi="Arial" w:cs="Arial"/>
                <w:iCs/>
                <w:sz w:val="20"/>
                <w:szCs w:val="20"/>
              </w:rPr>
              <w:t>100%</w:t>
            </w:r>
          </w:p>
          <w:p w:rsidR="002F2CF9" w:rsidRDefault="002F2CF9" w:rsidP="006A1EE9">
            <w:pPr>
              <w:rPr>
                <w:rFonts w:ascii="Arial" w:eastAsia="Times New Roman" w:hAnsi="Arial" w:cs="Arial"/>
                <w:iCs/>
                <w:sz w:val="20"/>
                <w:szCs w:val="20"/>
              </w:rPr>
            </w:pPr>
            <w:r w:rsidRPr="008F6A36">
              <w:rPr>
                <w:rFonts w:ascii="Arial" w:eastAsia="Times New Roman" w:hAnsi="Arial" w:cs="Arial"/>
                <w:iCs/>
                <w:sz w:val="20"/>
                <w:szCs w:val="20"/>
              </w:rPr>
              <w:t>All positives must be confirmed with laboratory COVID test.</w:t>
            </w:r>
          </w:p>
          <w:p w:rsidR="00DB196B" w:rsidRPr="00F41744" w:rsidRDefault="00DB196B" w:rsidP="006A1EE9">
            <w:pPr>
              <w:rPr>
                <w:rFonts w:ascii="Arial" w:eastAsia="Times New Roman" w:hAnsi="Arial" w:cs="Arial"/>
                <w:iCs/>
                <w:sz w:val="20"/>
                <w:szCs w:val="20"/>
              </w:rPr>
            </w:pP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3</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4</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12</w:t>
            </w:r>
          </w:p>
        </w:tc>
        <w:tc>
          <w:tcPr>
            <w:tcW w:w="3108" w:type="dxa"/>
          </w:tcPr>
          <w:p w:rsidR="002F2CF9" w:rsidRDefault="002F2CF9" w:rsidP="006A1EE9">
            <w:pPr>
              <w:rPr>
                <w:rFonts w:ascii="Arial" w:hAnsi="Arial" w:cs="Arial"/>
                <w:sz w:val="20"/>
                <w:szCs w:val="20"/>
              </w:rPr>
            </w:pPr>
            <w:r w:rsidRPr="00A3709D">
              <w:rPr>
                <w:rFonts w:ascii="Arial" w:hAnsi="Arial" w:cs="Arial"/>
                <w:sz w:val="20"/>
                <w:szCs w:val="20"/>
              </w:rPr>
              <w:t xml:space="preserve">Retrospective validation of all positive results that are </w:t>
            </w:r>
            <w:r>
              <w:rPr>
                <w:rFonts w:ascii="Arial" w:hAnsi="Arial" w:cs="Arial"/>
                <w:sz w:val="20"/>
                <w:szCs w:val="20"/>
              </w:rPr>
              <w:t>repeated in the laboratory.</w:t>
            </w:r>
          </w:p>
          <w:p w:rsidR="002F2CF9" w:rsidRDefault="002F2CF9" w:rsidP="006A1EE9">
            <w:pPr>
              <w:rPr>
                <w:rFonts w:ascii="Arial" w:hAnsi="Arial" w:cs="Arial"/>
                <w:sz w:val="20"/>
                <w:szCs w:val="20"/>
              </w:rPr>
            </w:pPr>
          </w:p>
          <w:p w:rsidR="002F2CF9" w:rsidRPr="00A3709D" w:rsidRDefault="002F2CF9" w:rsidP="006A1EE9">
            <w:pPr>
              <w:rPr>
                <w:rFonts w:ascii="Arial" w:hAnsi="Arial" w:cs="Arial"/>
                <w:sz w:val="20"/>
                <w:szCs w:val="20"/>
              </w:rPr>
            </w:pPr>
          </w:p>
        </w:tc>
        <w:tc>
          <w:tcPr>
            <w:tcW w:w="2144" w:type="dxa"/>
          </w:tcPr>
          <w:p w:rsidR="002F2CF9" w:rsidRPr="00DB196B" w:rsidRDefault="001061B9" w:rsidP="006A1EE9">
            <w:pPr>
              <w:rPr>
                <w:rFonts w:ascii="Arial" w:hAnsi="Arial" w:cs="Arial"/>
                <w:sz w:val="20"/>
                <w:szCs w:val="20"/>
              </w:rPr>
            </w:pPr>
            <w:r>
              <w:rPr>
                <w:rFonts w:ascii="Arial" w:hAnsi="Arial" w:cs="Arial"/>
                <w:sz w:val="20"/>
                <w:szCs w:val="20"/>
              </w:rPr>
              <w:t>N</w:t>
            </w:r>
            <w:r w:rsidR="002F2CF9" w:rsidRPr="00DB196B">
              <w:rPr>
                <w:rFonts w:ascii="Arial" w:hAnsi="Arial" w:cs="Arial"/>
                <w:sz w:val="20"/>
                <w:szCs w:val="20"/>
              </w:rPr>
              <w:t xml:space="preserve">. </w:t>
            </w:r>
            <w:r>
              <w:rPr>
                <w:rFonts w:ascii="Arial" w:hAnsi="Arial" w:cs="Arial"/>
                <w:sz w:val="20"/>
                <w:szCs w:val="20"/>
              </w:rPr>
              <w:t>Hodges</w:t>
            </w:r>
          </w:p>
          <w:p w:rsidR="002F2CF9" w:rsidRPr="00DB196B" w:rsidRDefault="002F2CF9" w:rsidP="006A1EE9">
            <w:pPr>
              <w:rPr>
                <w:rFonts w:ascii="Arial" w:hAnsi="Arial" w:cs="Arial"/>
                <w:sz w:val="20"/>
                <w:szCs w:val="20"/>
              </w:rPr>
            </w:pPr>
          </w:p>
          <w:p w:rsidR="002F2CF9" w:rsidRPr="00DB196B" w:rsidRDefault="002F2CF9" w:rsidP="006A1EE9">
            <w:pPr>
              <w:rPr>
                <w:rFonts w:ascii="Arial" w:hAnsi="Arial" w:cs="Arial"/>
                <w:sz w:val="20"/>
                <w:szCs w:val="20"/>
              </w:rPr>
            </w:pPr>
          </w:p>
          <w:p w:rsidR="002F2CF9" w:rsidRPr="00DB196B" w:rsidRDefault="002F2CF9" w:rsidP="006A1EE9">
            <w:pPr>
              <w:rPr>
                <w:rFonts w:ascii="Arial" w:hAnsi="Arial" w:cs="Arial"/>
                <w:sz w:val="20"/>
                <w:szCs w:val="20"/>
              </w:rPr>
            </w:pPr>
          </w:p>
          <w:p w:rsidR="002F2CF9" w:rsidRPr="00DB196B" w:rsidRDefault="002F2CF9" w:rsidP="006A1EE9">
            <w:pPr>
              <w:rPr>
                <w:rFonts w:ascii="Arial" w:hAnsi="Arial" w:cs="Arial"/>
                <w:sz w:val="20"/>
                <w:szCs w:val="20"/>
              </w:rPr>
            </w:pPr>
            <w:r w:rsidRPr="00DB196B">
              <w:rPr>
                <w:rFonts w:ascii="Arial" w:hAnsi="Arial" w:cs="Arial"/>
                <w:sz w:val="20"/>
                <w:szCs w:val="20"/>
              </w:rPr>
              <w:t>To be completed by 25/4/2021</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4</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8</w:t>
            </w:r>
          </w:p>
        </w:tc>
      </w:tr>
      <w:tr w:rsidR="002F2CF9" w:rsidRPr="00197D59" w:rsidTr="0012333A">
        <w:tc>
          <w:tcPr>
            <w:tcW w:w="3031" w:type="dxa"/>
          </w:tcPr>
          <w:p w:rsidR="002F2CF9" w:rsidRDefault="002F2CF9" w:rsidP="006A1EE9">
            <w:pPr>
              <w:rPr>
                <w:rFonts w:ascii="Arial" w:hAnsi="Arial" w:cs="Arial"/>
                <w:sz w:val="20"/>
                <w:szCs w:val="20"/>
              </w:rPr>
            </w:pPr>
            <w:r>
              <w:rPr>
                <w:rFonts w:ascii="Arial" w:hAnsi="Arial" w:cs="Arial"/>
                <w:sz w:val="20"/>
                <w:szCs w:val="20"/>
              </w:rPr>
              <w:t>Samples pose a biological hazard to staff collecting and processing the sample for COVID.</w:t>
            </w:r>
          </w:p>
          <w:p w:rsidR="002F2CF9" w:rsidRDefault="002F2CF9" w:rsidP="006A1EE9">
            <w:pPr>
              <w:rPr>
                <w:rFonts w:ascii="Arial" w:hAnsi="Arial" w:cs="Arial"/>
                <w:sz w:val="20"/>
                <w:szCs w:val="20"/>
              </w:rPr>
            </w:pPr>
          </w:p>
          <w:p w:rsidR="002F2CF9" w:rsidRDefault="002F2CF9" w:rsidP="006A1EE9">
            <w:pPr>
              <w:rPr>
                <w:rFonts w:ascii="Arial" w:hAnsi="Arial" w:cs="Arial"/>
                <w:sz w:val="20"/>
                <w:szCs w:val="20"/>
              </w:rPr>
            </w:pPr>
          </w:p>
          <w:p w:rsidR="002F2CF9" w:rsidRDefault="002F2CF9" w:rsidP="006A1EE9">
            <w:pPr>
              <w:rPr>
                <w:rFonts w:ascii="Arial" w:hAnsi="Arial" w:cs="Arial"/>
                <w:sz w:val="20"/>
                <w:szCs w:val="20"/>
              </w:rPr>
            </w:pPr>
          </w:p>
          <w:p w:rsidR="002F2CF9" w:rsidRPr="00B13718" w:rsidRDefault="002F2CF9" w:rsidP="006A1EE9">
            <w:pPr>
              <w:rPr>
                <w:rFonts w:ascii="Arial" w:hAnsi="Arial" w:cs="Arial"/>
                <w:sz w:val="20"/>
                <w:szCs w:val="20"/>
              </w:rPr>
            </w:pPr>
          </w:p>
        </w:tc>
        <w:tc>
          <w:tcPr>
            <w:tcW w:w="2747" w:type="dxa"/>
          </w:tcPr>
          <w:p w:rsidR="002F2CF9" w:rsidRDefault="002F2CF9" w:rsidP="006A1EE9">
            <w:pPr>
              <w:rPr>
                <w:rFonts w:ascii="Arial" w:hAnsi="Arial" w:cs="Arial"/>
                <w:sz w:val="20"/>
                <w:szCs w:val="20"/>
              </w:rPr>
            </w:pPr>
            <w:r>
              <w:rPr>
                <w:rFonts w:ascii="Arial" w:hAnsi="Arial" w:cs="Arial"/>
                <w:sz w:val="20"/>
                <w:szCs w:val="20"/>
              </w:rPr>
              <w:t>The sample must be collected wearing</w:t>
            </w:r>
            <w:r>
              <w:rPr>
                <w:rFonts w:ascii="Calibri" w:hAnsi="Calibri" w:cs="Calibri"/>
                <w:color w:val="000000"/>
              </w:rPr>
              <w:t xml:space="preserve"> PPE; f</w:t>
            </w:r>
            <w:r>
              <w:rPr>
                <w:rFonts w:ascii="Arial" w:hAnsi="Arial" w:cs="Arial"/>
                <w:sz w:val="20"/>
                <w:szCs w:val="20"/>
              </w:rPr>
              <w:t>ace masks, eye protection, disposable apron, and gloves must be worn when handling the sample and performing analysis.</w:t>
            </w:r>
          </w:p>
          <w:p w:rsidR="002F2CF9" w:rsidRDefault="002F2CF9" w:rsidP="006A1EE9">
            <w:pPr>
              <w:rPr>
                <w:rFonts w:ascii="Arial" w:hAnsi="Arial" w:cs="Arial"/>
                <w:sz w:val="20"/>
                <w:szCs w:val="20"/>
              </w:rPr>
            </w:pPr>
            <w:r>
              <w:rPr>
                <w:rFonts w:ascii="Arial" w:hAnsi="Arial" w:cs="Arial"/>
                <w:sz w:val="20"/>
                <w:szCs w:val="20"/>
              </w:rPr>
              <w:t xml:space="preserve">Sample is put back into sleeve and sealed in a sample bag once collected to transport to the analyser. The first stage of analysis deactivates </w:t>
            </w:r>
            <w:r w:rsidRPr="008E05CC">
              <w:rPr>
                <w:rFonts w:ascii="Arial" w:hAnsi="Arial" w:cs="Arial"/>
                <w:sz w:val="20"/>
                <w:szCs w:val="20"/>
              </w:rPr>
              <w:t xml:space="preserve">the majority of the </w:t>
            </w:r>
            <w:r>
              <w:rPr>
                <w:rFonts w:ascii="Arial" w:hAnsi="Arial" w:cs="Arial"/>
                <w:sz w:val="20"/>
                <w:szCs w:val="20"/>
              </w:rPr>
              <w:t>virus in the s</w:t>
            </w:r>
            <w:r w:rsidR="00070909">
              <w:rPr>
                <w:rFonts w:ascii="Arial" w:hAnsi="Arial" w:cs="Arial"/>
                <w:sz w:val="20"/>
                <w:szCs w:val="20"/>
              </w:rPr>
              <w:t>ample receiver. Removal of sample receiver does not</w:t>
            </w:r>
            <w:r>
              <w:rPr>
                <w:rFonts w:ascii="Arial" w:hAnsi="Arial" w:cs="Arial"/>
                <w:sz w:val="20"/>
                <w:szCs w:val="20"/>
              </w:rPr>
              <w:t xml:space="preserve"> entirely contained </w:t>
            </w:r>
            <w:r w:rsidR="00070909">
              <w:rPr>
                <w:rFonts w:ascii="Arial" w:hAnsi="Arial" w:cs="Arial"/>
                <w:sz w:val="20"/>
                <w:szCs w:val="20"/>
              </w:rPr>
              <w:t>the liquid, so</w:t>
            </w:r>
            <w:r>
              <w:rPr>
                <w:rFonts w:ascii="Arial" w:hAnsi="Arial" w:cs="Arial"/>
                <w:sz w:val="20"/>
                <w:szCs w:val="20"/>
              </w:rPr>
              <w:t xml:space="preserve"> users must wrap g</w:t>
            </w:r>
            <w:r w:rsidR="00070909">
              <w:rPr>
                <w:rFonts w:ascii="Arial" w:hAnsi="Arial" w:cs="Arial"/>
                <w:sz w:val="20"/>
                <w:szCs w:val="20"/>
              </w:rPr>
              <w:t>love around used segments when</w:t>
            </w:r>
            <w:r>
              <w:rPr>
                <w:rFonts w:ascii="Arial" w:hAnsi="Arial" w:cs="Arial"/>
                <w:sz w:val="20"/>
                <w:szCs w:val="20"/>
              </w:rPr>
              <w:t xml:space="preserve"> discard</w:t>
            </w:r>
            <w:r w:rsidR="00070909">
              <w:rPr>
                <w:rFonts w:ascii="Arial" w:hAnsi="Arial" w:cs="Arial"/>
                <w:sz w:val="20"/>
                <w:szCs w:val="20"/>
              </w:rPr>
              <w:t>ing</w:t>
            </w:r>
            <w:r>
              <w:rPr>
                <w:rFonts w:ascii="Arial" w:hAnsi="Arial" w:cs="Arial"/>
                <w:sz w:val="20"/>
                <w:szCs w:val="20"/>
              </w:rPr>
              <w:t>.</w:t>
            </w:r>
          </w:p>
          <w:p w:rsidR="002F2CF9" w:rsidRPr="00B13718" w:rsidRDefault="002F2CF9" w:rsidP="006A1EE9">
            <w:pPr>
              <w:rPr>
                <w:rFonts w:ascii="Arial" w:hAnsi="Arial" w:cs="Arial"/>
                <w:sz w:val="20"/>
                <w:szCs w:val="20"/>
              </w:rPr>
            </w:pPr>
            <w:r>
              <w:rPr>
                <w:rFonts w:ascii="Arial" w:hAnsi="Arial" w:cs="Arial"/>
                <w:sz w:val="20"/>
                <w:szCs w:val="20"/>
              </w:rPr>
              <w:t xml:space="preserve">Only trained staff should use the ID Now analysers. </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4</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8</w:t>
            </w:r>
          </w:p>
        </w:tc>
        <w:tc>
          <w:tcPr>
            <w:tcW w:w="3108" w:type="dxa"/>
          </w:tcPr>
          <w:p w:rsidR="002F2CF9" w:rsidRPr="00197D59" w:rsidRDefault="002F2CF9" w:rsidP="00282CA6">
            <w:pPr>
              <w:rPr>
                <w:rFonts w:ascii="Arial" w:hAnsi="Arial" w:cs="Arial"/>
                <w:sz w:val="20"/>
                <w:szCs w:val="20"/>
              </w:rPr>
            </w:pPr>
            <w:r>
              <w:rPr>
                <w:rFonts w:ascii="Arial" w:hAnsi="Arial" w:cs="Arial"/>
                <w:sz w:val="20"/>
                <w:szCs w:val="20"/>
              </w:rPr>
              <w:t>N/A</w:t>
            </w:r>
          </w:p>
        </w:tc>
        <w:tc>
          <w:tcPr>
            <w:tcW w:w="2144" w:type="dxa"/>
          </w:tcPr>
          <w:p w:rsidR="002F2CF9" w:rsidRPr="00197D59" w:rsidRDefault="002F2CF9" w:rsidP="00A83620">
            <w:pPr>
              <w:rPr>
                <w:rFonts w:ascii="Arial" w:hAnsi="Arial" w:cs="Arial"/>
                <w:sz w:val="20"/>
                <w:szCs w:val="20"/>
              </w:rPr>
            </w:pPr>
            <w:r>
              <w:rPr>
                <w:rFonts w:ascii="Arial" w:hAnsi="Arial" w:cs="Arial"/>
                <w:sz w:val="20"/>
                <w:szCs w:val="20"/>
              </w:rPr>
              <w:t>N/A</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4</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8</w:t>
            </w:r>
          </w:p>
        </w:tc>
      </w:tr>
      <w:tr w:rsidR="002F2CF9" w:rsidRPr="00197D59" w:rsidTr="0012333A">
        <w:tc>
          <w:tcPr>
            <w:tcW w:w="3031" w:type="dxa"/>
          </w:tcPr>
          <w:p w:rsidR="002F2CF9" w:rsidRDefault="002F2CF9" w:rsidP="006A1EE9">
            <w:pPr>
              <w:rPr>
                <w:rFonts w:ascii="Arial" w:hAnsi="Arial" w:cs="Arial"/>
                <w:sz w:val="20"/>
                <w:szCs w:val="20"/>
              </w:rPr>
            </w:pPr>
            <w:r>
              <w:rPr>
                <w:rFonts w:ascii="Arial" w:hAnsi="Arial" w:cs="Arial"/>
                <w:sz w:val="20"/>
                <w:szCs w:val="20"/>
              </w:rPr>
              <w:t>Lack of COVID test kits for the ID Now has a risk of not being able to run a COVID test outside of the laboratory service (22:00 – 07:00)</w:t>
            </w:r>
          </w:p>
          <w:p w:rsidR="002F2CF9" w:rsidRDefault="002F2CF9" w:rsidP="006A1EE9">
            <w:pPr>
              <w:rPr>
                <w:rFonts w:ascii="Arial" w:hAnsi="Arial" w:cs="Arial"/>
                <w:sz w:val="20"/>
                <w:szCs w:val="20"/>
              </w:rPr>
            </w:pPr>
          </w:p>
          <w:p w:rsidR="002F2CF9" w:rsidRDefault="002F2CF9" w:rsidP="006A1EE9">
            <w:pPr>
              <w:rPr>
                <w:rFonts w:ascii="Arial" w:hAnsi="Arial" w:cs="Arial"/>
                <w:sz w:val="20"/>
                <w:szCs w:val="20"/>
              </w:rPr>
            </w:pPr>
            <w:r>
              <w:rPr>
                <w:rFonts w:ascii="Arial" w:hAnsi="Arial" w:cs="Arial"/>
                <w:sz w:val="20"/>
                <w:szCs w:val="20"/>
              </w:rPr>
              <w:t>A risk of an ID Now</w:t>
            </w:r>
            <w:r w:rsidRPr="005B5F80">
              <w:rPr>
                <w:rFonts w:ascii="Arial" w:hAnsi="Arial" w:cs="Arial"/>
                <w:color w:val="FF0000"/>
                <w:sz w:val="20"/>
                <w:szCs w:val="20"/>
              </w:rPr>
              <w:t xml:space="preserve"> </w:t>
            </w:r>
            <w:r>
              <w:rPr>
                <w:rFonts w:ascii="Arial" w:hAnsi="Arial" w:cs="Arial"/>
                <w:sz w:val="20"/>
                <w:szCs w:val="20"/>
              </w:rPr>
              <w:t>being out of use due to failure. This will reduce the capacity for Rapid COVID testing out of hours.</w:t>
            </w:r>
          </w:p>
          <w:p w:rsidR="002F2CF9" w:rsidRPr="00B13718" w:rsidRDefault="002F2CF9" w:rsidP="006A1EE9">
            <w:pPr>
              <w:rPr>
                <w:rFonts w:ascii="Arial" w:hAnsi="Arial" w:cs="Arial"/>
                <w:sz w:val="20"/>
                <w:szCs w:val="20"/>
              </w:rPr>
            </w:pPr>
          </w:p>
        </w:tc>
        <w:tc>
          <w:tcPr>
            <w:tcW w:w="2747" w:type="dxa"/>
          </w:tcPr>
          <w:p w:rsidR="002F2CF9" w:rsidRDefault="002F2CF9" w:rsidP="006A1EE9">
            <w:pPr>
              <w:rPr>
                <w:rFonts w:ascii="Arial" w:hAnsi="Arial" w:cs="Arial"/>
                <w:sz w:val="20"/>
                <w:szCs w:val="20"/>
              </w:rPr>
            </w:pPr>
            <w:r>
              <w:rPr>
                <w:rFonts w:ascii="Arial" w:hAnsi="Arial" w:cs="Arial"/>
                <w:sz w:val="20"/>
                <w:szCs w:val="20"/>
              </w:rPr>
              <w:t>Daily review of tests performed is carried out, with a weekly stock count of test kits left to use.</w:t>
            </w:r>
          </w:p>
          <w:p w:rsidR="002F2CF9" w:rsidRDefault="002F2CF9" w:rsidP="006A1EE9">
            <w:pPr>
              <w:rPr>
                <w:rFonts w:ascii="Arial" w:hAnsi="Arial" w:cs="Arial"/>
                <w:sz w:val="20"/>
                <w:szCs w:val="20"/>
              </w:rPr>
            </w:pPr>
          </w:p>
          <w:p w:rsidR="002F2CF9" w:rsidRDefault="002F2CF9" w:rsidP="006A1EE9">
            <w:pPr>
              <w:rPr>
                <w:rFonts w:ascii="Arial" w:hAnsi="Arial" w:cs="Arial"/>
                <w:sz w:val="20"/>
                <w:szCs w:val="20"/>
              </w:rPr>
            </w:pPr>
            <w:r>
              <w:rPr>
                <w:rFonts w:ascii="Arial" w:hAnsi="Arial" w:cs="Arial"/>
                <w:sz w:val="20"/>
                <w:szCs w:val="20"/>
              </w:rPr>
              <w:t>Fortnightly deliveries of test kits to allow 80 a day in ED and 24 a day in ONC OP.</w:t>
            </w:r>
          </w:p>
          <w:p w:rsidR="002F2CF9" w:rsidRDefault="002F2CF9" w:rsidP="006A1EE9">
            <w:pPr>
              <w:rPr>
                <w:rFonts w:ascii="Arial" w:hAnsi="Arial" w:cs="Arial"/>
                <w:sz w:val="20"/>
                <w:szCs w:val="20"/>
              </w:rPr>
            </w:pPr>
            <w:r>
              <w:rPr>
                <w:rFonts w:ascii="Arial" w:hAnsi="Arial" w:cs="Arial"/>
                <w:sz w:val="20"/>
                <w:szCs w:val="20"/>
              </w:rPr>
              <w:t>ED have 3 ID Now analysers allowing for one ana</w:t>
            </w:r>
            <w:r w:rsidR="00070909">
              <w:rPr>
                <w:rFonts w:ascii="Arial" w:hAnsi="Arial" w:cs="Arial"/>
                <w:sz w:val="20"/>
                <w:szCs w:val="20"/>
              </w:rPr>
              <w:t>lyser to be out of action with minimal</w:t>
            </w:r>
            <w:r>
              <w:rPr>
                <w:rFonts w:ascii="Arial" w:hAnsi="Arial" w:cs="Arial"/>
                <w:sz w:val="20"/>
                <w:szCs w:val="20"/>
              </w:rPr>
              <w:t xml:space="preserve"> impact. If 2 analysers are out the laboratory will need to process swabs during 9am – 10pm, using the single ID Now outside of these times.</w:t>
            </w:r>
          </w:p>
          <w:p w:rsidR="00DB196B" w:rsidRPr="00F41744" w:rsidRDefault="00DB196B" w:rsidP="00070909">
            <w:pPr>
              <w:rPr>
                <w:rFonts w:ascii="Arial" w:hAnsi="Arial" w:cs="Arial"/>
                <w:sz w:val="20"/>
                <w:szCs w:val="20"/>
              </w:rPr>
            </w:pP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3</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6</w:t>
            </w:r>
          </w:p>
        </w:tc>
        <w:tc>
          <w:tcPr>
            <w:tcW w:w="3108" w:type="dxa"/>
          </w:tcPr>
          <w:p w:rsidR="002F2CF9" w:rsidRPr="00197D59" w:rsidRDefault="002F2CF9" w:rsidP="00282CA6">
            <w:pPr>
              <w:rPr>
                <w:rFonts w:ascii="Arial" w:hAnsi="Arial" w:cs="Arial"/>
                <w:sz w:val="20"/>
                <w:szCs w:val="20"/>
              </w:rPr>
            </w:pPr>
            <w:r>
              <w:rPr>
                <w:rFonts w:ascii="Arial" w:hAnsi="Arial" w:cs="Arial"/>
                <w:sz w:val="20"/>
                <w:szCs w:val="20"/>
              </w:rPr>
              <w:t>N/A</w:t>
            </w:r>
          </w:p>
        </w:tc>
        <w:tc>
          <w:tcPr>
            <w:tcW w:w="2144" w:type="dxa"/>
          </w:tcPr>
          <w:p w:rsidR="002F2CF9" w:rsidRPr="00197D59" w:rsidRDefault="002F2CF9" w:rsidP="00A83620">
            <w:pPr>
              <w:rPr>
                <w:rFonts w:ascii="Arial" w:hAnsi="Arial" w:cs="Arial"/>
                <w:sz w:val="20"/>
                <w:szCs w:val="20"/>
              </w:rPr>
            </w:pPr>
            <w:r>
              <w:rPr>
                <w:rFonts w:ascii="Arial" w:hAnsi="Arial" w:cs="Arial"/>
                <w:sz w:val="20"/>
                <w:szCs w:val="20"/>
              </w:rPr>
              <w:t>N/A</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3</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6</w:t>
            </w:r>
          </w:p>
        </w:tc>
      </w:tr>
      <w:tr w:rsidR="002F2CF9" w:rsidRPr="00197D59" w:rsidTr="0012333A">
        <w:trPr>
          <w:trHeight w:val="483"/>
        </w:trPr>
        <w:tc>
          <w:tcPr>
            <w:tcW w:w="3031" w:type="dxa"/>
          </w:tcPr>
          <w:p w:rsidR="002F2CF9" w:rsidRDefault="002F2CF9" w:rsidP="006A1EE9">
            <w:pPr>
              <w:rPr>
                <w:rFonts w:ascii="Arial" w:hAnsi="Arial" w:cs="Arial"/>
                <w:sz w:val="20"/>
                <w:szCs w:val="20"/>
              </w:rPr>
            </w:pPr>
            <w:r>
              <w:rPr>
                <w:rFonts w:ascii="Arial" w:hAnsi="Arial" w:cs="Arial"/>
                <w:sz w:val="20"/>
                <w:szCs w:val="20"/>
              </w:rPr>
              <w:t xml:space="preserve">IT systems handling the results goes down or delay in set up will cause the results to not go into the electronic patient record. Also not report to SGSS but ultimately no electronic record of result to follow patient around the hospital. </w:t>
            </w:r>
          </w:p>
        </w:tc>
        <w:tc>
          <w:tcPr>
            <w:tcW w:w="2747" w:type="dxa"/>
          </w:tcPr>
          <w:p w:rsidR="002F2CF9" w:rsidRDefault="002F2CF9" w:rsidP="006A1EE9">
            <w:pPr>
              <w:rPr>
                <w:rFonts w:ascii="Arial" w:hAnsi="Arial" w:cs="Arial"/>
                <w:sz w:val="20"/>
                <w:szCs w:val="20"/>
              </w:rPr>
            </w:pPr>
            <w:r>
              <w:rPr>
                <w:rFonts w:ascii="Arial" w:hAnsi="Arial" w:cs="Arial"/>
                <w:sz w:val="20"/>
                <w:szCs w:val="20"/>
              </w:rPr>
              <w:t xml:space="preserve">Staff can obtain the result directly the ID Now analyser, this can be reprinted and stuck in the patient notes. </w:t>
            </w:r>
          </w:p>
          <w:p w:rsidR="002F2CF9" w:rsidRDefault="002F2CF9" w:rsidP="006A1EE9">
            <w:pPr>
              <w:rPr>
                <w:rFonts w:ascii="Arial" w:hAnsi="Arial" w:cs="Arial"/>
                <w:sz w:val="20"/>
                <w:szCs w:val="20"/>
              </w:rPr>
            </w:pPr>
            <w:r>
              <w:rPr>
                <w:rFonts w:ascii="Arial" w:hAnsi="Arial" w:cs="Arial"/>
                <w:sz w:val="20"/>
                <w:szCs w:val="20"/>
              </w:rPr>
              <w:t xml:space="preserve">Movement of the results from the </w:t>
            </w:r>
            <w:r w:rsidRPr="00117297">
              <w:rPr>
                <w:rFonts w:ascii="Arial" w:hAnsi="Arial" w:cs="Arial"/>
                <w:sz w:val="20"/>
                <w:szCs w:val="20"/>
              </w:rPr>
              <w:t>ID Now analyser</w:t>
            </w:r>
            <w:r>
              <w:rPr>
                <w:rFonts w:ascii="Arial" w:hAnsi="Arial" w:cs="Arial"/>
                <w:sz w:val="20"/>
                <w:szCs w:val="20"/>
              </w:rPr>
              <w:t xml:space="preserve"> to the EPR is live. Interruptions of data movement can be resolved with resending the results from the analyser and or data manager system (checked daily)</w:t>
            </w:r>
          </w:p>
          <w:p w:rsidR="002F2CF9" w:rsidRPr="00F41744" w:rsidRDefault="002F2CF9" w:rsidP="006A1EE9">
            <w:pPr>
              <w:rPr>
                <w:rFonts w:ascii="Arial" w:hAnsi="Arial" w:cs="Arial"/>
                <w:sz w:val="20"/>
                <w:szCs w:val="20"/>
              </w:rPr>
            </w:pP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1</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3</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3</w:t>
            </w:r>
          </w:p>
        </w:tc>
        <w:tc>
          <w:tcPr>
            <w:tcW w:w="3108" w:type="dxa"/>
          </w:tcPr>
          <w:p w:rsidR="002F2CF9" w:rsidRPr="00197D59" w:rsidRDefault="002F2CF9" w:rsidP="00282CA6">
            <w:pPr>
              <w:rPr>
                <w:rFonts w:ascii="Arial" w:hAnsi="Arial" w:cs="Arial"/>
                <w:sz w:val="20"/>
                <w:szCs w:val="20"/>
              </w:rPr>
            </w:pPr>
            <w:r>
              <w:rPr>
                <w:rFonts w:ascii="Arial" w:hAnsi="Arial" w:cs="Arial"/>
                <w:sz w:val="20"/>
                <w:szCs w:val="20"/>
              </w:rPr>
              <w:t>N/A</w:t>
            </w:r>
          </w:p>
        </w:tc>
        <w:tc>
          <w:tcPr>
            <w:tcW w:w="2144" w:type="dxa"/>
          </w:tcPr>
          <w:p w:rsidR="002F2CF9" w:rsidRPr="00197D59" w:rsidRDefault="002F2CF9" w:rsidP="00A83620">
            <w:pPr>
              <w:rPr>
                <w:rFonts w:ascii="Arial" w:hAnsi="Arial" w:cs="Arial"/>
                <w:sz w:val="20"/>
                <w:szCs w:val="20"/>
              </w:rPr>
            </w:pPr>
            <w:r>
              <w:rPr>
                <w:rFonts w:ascii="Arial" w:hAnsi="Arial" w:cs="Arial"/>
                <w:sz w:val="20"/>
                <w:szCs w:val="20"/>
              </w:rPr>
              <w:t>N/A</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1</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3</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3</w:t>
            </w:r>
          </w:p>
        </w:tc>
      </w:tr>
      <w:tr w:rsidR="002F2CF9" w:rsidRPr="00197D59" w:rsidTr="0012333A">
        <w:trPr>
          <w:trHeight w:val="1253"/>
        </w:trPr>
        <w:tc>
          <w:tcPr>
            <w:tcW w:w="3031" w:type="dxa"/>
          </w:tcPr>
          <w:p w:rsidR="002F2CF9" w:rsidRDefault="002F2CF9" w:rsidP="006A1EE9">
            <w:pPr>
              <w:rPr>
                <w:rFonts w:ascii="Arial" w:hAnsi="Arial" w:cs="Arial"/>
                <w:sz w:val="20"/>
                <w:szCs w:val="20"/>
              </w:rPr>
            </w:pPr>
            <w:r>
              <w:rPr>
                <w:rFonts w:ascii="Arial" w:hAnsi="Arial" w:cs="Arial"/>
                <w:sz w:val="20"/>
                <w:szCs w:val="20"/>
              </w:rPr>
              <w:t>Risk of results not being reported due to an incorrect patient ID being used to run a patient sample.</w:t>
            </w:r>
          </w:p>
          <w:p w:rsidR="002F2CF9" w:rsidRDefault="002F2CF9" w:rsidP="006A1EE9">
            <w:pPr>
              <w:rPr>
                <w:rFonts w:ascii="Arial" w:hAnsi="Arial" w:cs="Arial"/>
                <w:sz w:val="20"/>
                <w:szCs w:val="20"/>
              </w:rPr>
            </w:pPr>
            <w:r>
              <w:rPr>
                <w:rFonts w:ascii="Arial" w:hAnsi="Arial" w:cs="Arial"/>
                <w:sz w:val="20"/>
                <w:szCs w:val="20"/>
              </w:rPr>
              <w:t>Patient may need to have a repeat test as the first may be unidentifiable even on the ID Now analyser itself.</w:t>
            </w:r>
          </w:p>
        </w:tc>
        <w:tc>
          <w:tcPr>
            <w:tcW w:w="2747" w:type="dxa"/>
          </w:tcPr>
          <w:p w:rsidR="002F2CF9" w:rsidRDefault="002F2CF9" w:rsidP="006A1EE9">
            <w:pPr>
              <w:rPr>
                <w:rFonts w:ascii="Arial" w:hAnsi="Arial" w:cs="Arial"/>
                <w:sz w:val="20"/>
                <w:szCs w:val="20"/>
              </w:rPr>
            </w:pPr>
            <w:r>
              <w:rPr>
                <w:rFonts w:ascii="Arial" w:hAnsi="Arial" w:cs="Arial"/>
                <w:sz w:val="20"/>
                <w:szCs w:val="20"/>
              </w:rPr>
              <w:t>POCcelerator will be reviewed by the POCT team on a daily basis (mon-</w:t>
            </w:r>
            <w:proofErr w:type="spellStart"/>
            <w:r>
              <w:rPr>
                <w:rFonts w:ascii="Arial" w:hAnsi="Arial" w:cs="Arial"/>
                <w:sz w:val="20"/>
                <w:szCs w:val="20"/>
              </w:rPr>
              <w:t>fri</w:t>
            </w:r>
            <w:proofErr w:type="spellEnd"/>
            <w:r>
              <w:rPr>
                <w:rFonts w:ascii="Arial" w:hAnsi="Arial" w:cs="Arial"/>
                <w:sz w:val="20"/>
                <w:szCs w:val="20"/>
              </w:rPr>
              <w:t>) any non-transmitted results will be followed up and corrected to allow the results to move into the EPR.</w:t>
            </w:r>
          </w:p>
          <w:p w:rsidR="002F2CF9" w:rsidRDefault="002F2CF9" w:rsidP="006A1EE9">
            <w:pPr>
              <w:rPr>
                <w:rFonts w:ascii="Arial" w:hAnsi="Arial" w:cs="Arial"/>
                <w:sz w:val="20"/>
                <w:szCs w:val="20"/>
              </w:rPr>
            </w:pPr>
            <w:r>
              <w:rPr>
                <w:rFonts w:ascii="Arial" w:hAnsi="Arial" w:cs="Arial"/>
                <w:sz w:val="20"/>
                <w:szCs w:val="20"/>
              </w:rPr>
              <w:t>Over a weekend results could be delayed for over 2 days.</w:t>
            </w:r>
          </w:p>
          <w:p w:rsidR="002F2CF9" w:rsidRDefault="002F2CF9" w:rsidP="006A1EE9">
            <w:pPr>
              <w:rPr>
                <w:rFonts w:ascii="Arial" w:hAnsi="Arial" w:cs="Arial"/>
                <w:sz w:val="20"/>
                <w:szCs w:val="20"/>
              </w:rPr>
            </w:pPr>
            <w:r>
              <w:rPr>
                <w:rFonts w:ascii="Arial" w:hAnsi="Arial" w:cs="Arial"/>
                <w:sz w:val="20"/>
                <w:szCs w:val="20"/>
              </w:rPr>
              <w:t>Only trained staff should use the analysers, the SOP states MRN number should be used to identify the patient.</w:t>
            </w:r>
          </w:p>
          <w:p w:rsidR="00DB196B" w:rsidRDefault="00DB196B" w:rsidP="006A1EE9">
            <w:pPr>
              <w:rPr>
                <w:rFonts w:ascii="Arial" w:hAnsi="Arial" w:cs="Arial"/>
                <w:sz w:val="20"/>
                <w:szCs w:val="20"/>
              </w:rPr>
            </w:pP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3</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6</w:t>
            </w:r>
          </w:p>
        </w:tc>
        <w:tc>
          <w:tcPr>
            <w:tcW w:w="3108" w:type="dxa"/>
          </w:tcPr>
          <w:p w:rsidR="002F2CF9" w:rsidRPr="00197D59" w:rsidRDefault="002F2CF9" w:rsidP="00282CA6">
            <w:pPr>
              <w:rPr>
                <w:rFonts w:ascii="Arial" w:hAnsi="Arial" w:cs="Arial"/>
                <w:sz w:val="20"/>
                <w:szCs w:val="20"/>
              </w:rPr>
            </w:pPr>
            <w:r>
              <w:rPr>
                <w:rFonts w:ascii="Arial" w:hAnsi="Arial" w:cs="Arial"/>
                <w:sz w:val="20"/>
                <w:szCs w:val="20"/>
              </w:rPr>
              <w:t>N/A</w:t>
            </w:r>
          </w:p>
        </w:tc>
        <w:tc>
          <w:tcPr>
            <w:tcW w:w="2144" w:type="dxa"/>
          </w:tcPr>
          <w:p w:rsidR="002F2CF9" w:rsidRPr="00197D59" w:rsidRDefault="002F2CF9" w:rsidP="00A83620">
            <w:pPr>
              <w:rPr>
                <w:rFonts w:ascii="Arial" w:hAnsi="Arial" w:cs="Arial"/>
                <w:sz w:val="20"/>
                <w:szCs w:val="20"/>
              </w:rPr>
            </w:pPr>
            <w:r>
              <w:rPr>
                <w:rFonts w:ascii="Arial" w:hAnsi="Arial" w:cs="Arial"/>
                <w:sz w:val="20"/>
                <w:szCs w:val="20"/>
              </w:rPr>
              <w:t>N/A</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2</w:t>
            </w:r>
          </w:p>
        </w:tc>
        <w:tc>
          <w:tcPr>
            <w:tcW w:w="458"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3</w:t>
            </w:r>
          </w:p>
        </w:tc>
        <w:tc>
          <w:tcPr>
            <w:tcW w:w="579" w:type="dxa"/>
            <w:shd w:val="clear" w:color="auto" w:fill="auto"/>
          </w:tcPr>
          <w:p w:rsidR="002F2CF9" w:rsidRPr="00197D59" w:rsidRDefault="002F2CF9" w:rsidP="00A83620">
            <w:pPr>
              <w:rPr>
                <w:rFonts w:ascii="Arial" w:hAnsi="Arial" w:cs="Arial"/>
                <w:sz w:val="20"/>
                <w:szCs w:val="20"/>
              </w:rPr>
            </w:pPr>
            <w:r>
              <w:rPr>
                <w:rFonts w:ascii="Arial" w:hAnsi="Arial" w:cs="Arial"/>
                <w:sz w:val="20"/>
                <w:szCs w:val="20"/>
              </w:rPr>
              <w:t>6</w:t>
            </w:r>
          </w:p>
        </w:tc>
      </w:tr>
      <w:tr w:rsidR="002F2CF9" w:rsidRPr="00197D59" w:rsidTr="0012333A">
        <w:trPr>
          <w:trHeight w:val="1253"/>
        </w:trPr>
        <w:tc>
          <w:tcPr>
            <w:tcW w:w="3031" w:type="dxa"/>
          </w:tcPr>
          <w:p w:rsidR="002F2CF9" w:rsidRDefault="002F2CF9" w:rsidP="006A1EE9">
            <w:pPr>
              <w:rPr>
                <w:rFonts w:ascii="Arial" w:hAnsi="Arial" w:cs="Arial"/>
                <w:sz w:val="20"/>
                <w:szCs w:val="20"/>
              </w:rPr>
            </w:pPr>
            <w:r>
              <w:rPr>
                <w:rFonts w:ascii="Arial" w:hAnsi="Arial" w:cs="Arial"/>
                <w:sz w:val="20"/>
                <w:szCs w:val="20"/>
              </w:rPr>
              <w:t>Positive control not third party and not COVID virus (Flu A&amp;B). No running evidence the analysers can detect COVID in a sample. A risk of reporting false negative results.</w:t>
            </w:r>
          </w:p>
        </w:tc>
        <w:tc>
          <w:tcPr>
            <w:tcW w:w="2747" w:type="dxa"/>
          </w:tcPr>
          <w:p w:rsidR="002F2CF9" w:rsidRDefault="00070909" w:rsidP="00070909">
            <w:pPr>
              <w:rPr>
                <w:rFonts w:ascii="Arial" w:hAnsi="Arial" w:cs="Arial"/>
                <w:sz w:val="20"/>
                <w:szCs w:val="20"/>
              </w:rPr>
            </w:pPr>
            <w:r>
              <w:rPr>
                <w:rFonts w:ascii="Arial" w:hAnsi="Arial" w:cs="Arial"/>
                <w:sz w:val="20"/>
                <w:szCs w:val="20"/>
              </w:rPr>
              <w:t xml:space="preserve">This will be resolved with IFU version 2 including a new COVID positive </w:t>
            </w:r>
            <w:proofErr w:type="spellStart"/>
            <w:r>
              <w:rPr>
                <w:rFonts w:ascii="Arial" w:hAnsi="Arial" w:cs="Arial"/>
                <w:sz w:val="20"/>
                <w:szCs w:val="20"/>
              </w:rPr>
              <w:t>iQC</w:t>
            </w:r>
            <w:proofErr w:type="spellEnd"/>
            <w:r>
              <w:rPr>
                <w:rFonts w:ascii="Arial" w:hAnsi="Arial" w:cs="Arial"/>
                <w:sz w:val="20"/>
                <w:szCs w:val="20"/>
              </w:rPr>
              <w:t>,</w:t>
            </w:r>
            <w:r w:rsidR="002F2CF9">
              <w:rPr>
                <w:rFonts w:ascii="Arial" w:hAnsi="Arial" w:cs="Arial"/>
                <w:sz w:val="20"/>
                <w:szCs w:val="20"/>
              </w:rPr>
              <w:t xml:space="preserve"> so a true positive </w:t>
            </w:r>
            <w:proofErr w:type="spellStart"/>
            <w:r w:rsidR="002F2CF9">
              <w:rPr>
                <w:rFonts w:ascii="Arial" w:hAnsi="Arial" w:cs="Arial"/>
                <w:sz w:val="20"/>
                <w:szCs w:val="20"/>
              </w:rPr>
              <w:t>iQC</w:t>
            </w:r>
            <w:proofErr w:type="spellEnd"/>
            <w:r w:rsidR="002F2CF9">
              <w:rPr>
                <w:rFonts w:ascii="Arial" w:hAnsi="Arial" w:cs="Arial"/>
                <w:sz w:val="20"/>
                <w:szCs w:val="20"/>
              </w:rPr>
              <w:t>.</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2</w:t>
            </w:r>
          </w:p>
        </w:tc>
        <w:tc>
          <w:tcPr>
            <w:tcW w:w="439"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4</w:t>
            </w:r>
          </w:p>
        </w:tc>
        <w:tc>
          <w:tcPr>
            <w:tcW w:w="550" w:type="dxa"/>
            <w:shd w:val="clear" w:color="auto" w:fill="auto"/>
          </w:tcPr>
          <w:p w:rsidR="002F2CF9" w:rsidRPr="00197D59" w:rsidRDefault="002F2CF9" w:rsidP="00282CA6">
            <w:pPr>
              <w:jc w:val="center"/>
              <w:rPr>
                <w:rFonts w:ascii="Arial" w:hAnsi="Arial" w:cs="Arial"/>
                <w:sz w:val="20"/>
                <w:szCs w:val="20"/>
              </w:rPr>
            </w:pPr>
            <w:r>
              <w:rPr>
                <w:rFonts w:ascii="Arial" w:hAnsi="Arial" w:cs="Arial"/>
                <w:sz w:val="20"/>
                <w:szCs w:val="20"/>
              </w:rPr>
              <w:t>8</w:t>
            </w:r>
          </w:p>
        </w:tc>
        <w:tc>
          <w:tcPr>
            <w:tcW w:w="3108" w:type="dxa"/>
          </w:tcPr>
          <w:p w:rsidR="002F2CF9" w:rsidRDefault="002F2CF9" w:rsidP="006A1EE9">
            <w:pPr>
              <w:rPr>
                <w:rFonts w:ascii="Arial" w:hAnsi="Arial" w:cs="Arial"/>
                <w:sz w:val="20"/>
                <w:szCs w:val="20"/>
              </w:rPr>
            </w:pPr>
            <w:r>
              <w:rPr>
                <w:rFonts w:ascii="Arial" w:hAnsi="Arial" w:cs="Arial"/>
                <w:sz w:val="20"/>
                <w:szCs w:val="20"/>
              </w:rPr>
              <w:t xml:space="preserve">Upgrade software to run new positive </w:t>
            </w:r>
            <w:proofErr w:type="spellStart"/>
            <w:r>
              <w:rPr>
                <w:rFonts w:ascii="Arial" w:hAnsi="Arial" w:cs="Arial"/>
                <w:sz w:val="20"/>
                <w:szCs w:val="20"/>
              </w:rPr>
              <w:t>iQC</w:t>
            </w:r>
            <w:proofErr w:type="spellEnd"/>
          </w:p>
          <w:p w:rsidR="002F2CF9" w:rsidRDefault="002F2CF9" w:rsidP="006A1EE9">
            <w:pPr>
              <w:rPr>
                <w:rFonts w:ascii="Arial" w:hAnsi="Arial" w:cs="Arial"/>
                <w:sz w:val="20"/>
                <w:szCs w:val="20"/>
              </w:rPr>
            </w:pPr>
          </w:p>
          <w:p w:rsidR="002F2CF9" w:rsidRDefault="002F2CF9" w:rsidP="006A1EE9">
            <w:pPr>
              <w:rPr>
                <w:rFonts w:ascii="Arial" w:hAnsi="Arial" w:cs="Arial"/>
                <w:sz w:val="20"/>
                <w:szCs w:val="20"/>
              </w:rPr>
            </w:pPr>
            <w:r>
              <w:rPr>
                <w:rFonts w:ascii="Arial" w:hAnsi="Arial" w:cs="Arial"/>
                <w:sz w:val="20"/>
                <w:szCs w:val="20"/>
              </w:rPr>
              <w:t>Source a suitable external quality assurance scheme for all ID Now analysers</w:t>
            </w:r>
          </w:p>
        </w:tc>
        <w:tc>
          <w:tcPr>
            <w:tcW w:w="2144" w:type="dxa"/>
          </w:tcPr>
          <w:p w:rsidR="00DB196B" w:rsidRPr="00DB196B" w:rsidRDefault="00070909" w:rsidP="00DB196B">
            <w:pPr>
              <w:rPr>
                <w:rFonts w:ascii="Arial" w:hAnsi="Arial" w:cs="Arial"/>
                <w:sz w:val="20"/>
                <w:szCs w:val="20"/>
              </w:rPr>
            </w:pPr>
            <w:r>
              <w:rPr>
                <w:rFonts w:ascii="Arial" w:hAnsi="Arial" w:cs="Arial"/>
                <w:sz w:val="20"/>
                <w:szCs w:val="20"/>
              </w:rPr>
              <w:t xml:space="preserve">Nicola Hodges end of </w:t>
            </w:r>
            <w:r w:rsidR="00DB196B" w:rsidRPr="00DB196B">
              <w:rPr>
                <w:rFonts w:ascii="Arial" w:hAnsi="Arial" w:cs="Arial"/>
                <w:sz w:val="20"/>
                <w:szCs w:val="20"/>
              </w:rPr>
              <w:t>2021</w:t>
            </w:r>
          </w:p>
          <w:p w:rsidR="00DB196B" w:rsidRPr="00DB196B" w:rsidRDefault="00DB196B" w:rsidP="00DB196B">
            <w:pPr>
              <w:rPr>
                <w:rFonts w:ascii="Arial" w:hAnsi="Arial" w:cs="Arial"/>
                <w:sz w:val="20"/>
                <w:szCs w:val="20"/>
              </w:rPr>
            </w:pPr>
          </w:p>
          <w:p w:rsidR="002F2CF9" w:rsidRPr="00197D59" w:rsidRDefault="00070909" w:rsidP="00DB196B">
            <w:pPr>
              <w:rPr>
                <w:rFonts w:ascii="Arial" w:hAnsi="Arial" w:cs="Arial"/>
                <w:sz w:val="20"/>
                <w:szCs w:val="20"/>
              </w:rPr>
            </w:pPr>
            <w:r>
              <w:rPr>
                <w:rFonts w:ascii="Arial" w:hAnsi="Arial" w:cs="Arial"/>
                <w:sz w:val="20"/>
                <w:szCs w:val="20"/>
              </w:rPr>
              <w:t>Nicola Hodges April</w:t>
            </w:r>
            <w:r w:rsidR="00DB196B" w:rsidRPr="00DB196B">
              <w:rPr>
                <w:rFonts w:ascii="Arial" w:hAnsi="Arial" w:cs="Arial"/>
                <w:sz w:val="20"/>
                <w:szCs w:val="20"/>
              </w:rPr>
              <w:t xml:space="preserve"> 2021</w:t>
            </w:r>
          </w:p>
        </w:tc>
        <w:tc>
          <w:tcPr>
            <w:tcW w:w="458" w:type="dxa"/>
            <w:shd w:val="clear" w:color="auto" w:fill="auto"/>
          </w:tcPr>
          <w:p w:rsidR="002F2CF9" w:rsidRPr="00197D59" w:rsidRDefault="00DB196B" w:rsidP="00A83620">
            <w:pPr>
              <w:rPr>
                <w:rFonts w:ascii="Arial" w:hAnsi="Arial" w:cs="Arial"/>
                <w:sz w:val="20"/>
                <w:szCs w:val="20"/>
              </w:rPr>
            </w:pPr>
            <w:r>
              <w:rPr>
                <w:rFonts w:ascii="Arial" w:hAnsi="Arial" w:cs="Arial"/>
                <w:sz w:val="20"/>
                <w:szCs w:val="20"/>
              </w:rPr>
              <w:t>1</w:t>
            </w:r>
          </w:p>
        </w:tc>
        <w:tc>
          <w:tcPr>
            <w:tcW w:w="458" w:type="dxa"/>
            <w:shd w:val="clear" w:color="auto" w:fill="auto"/>
          </w:tcPr>
          <w:p w:rsidR="002F2CF9" w:rsidRPr="00197D59" w:rsidRDefault="00DB196B" w:rsidP="00A83620">
            <w:pPr>
              <w:rPr>
                <w:rFonts w:ascii="Arial" w:hAnsi="Arial" w:cs="Arial"/>
                <w:sz w:val="20"/>
                <w:szCs w:val="20"/>
              </w:rPr>
            </w:pPr>
            <w:r>
              <w:rPr>
                <w:rFonts w:ascii="Arial" w:hAnsi="Arial" w:cs="Arial"/>
                <w:sz w:val="20"/>
                <w:szCs w:val="20"/>
              </w:rPr>
              <w:t>4</w:t>
            </w:r>
          </w:p>
        </w:tc>
        <w:tc>
          <w:tcPr>
            <w:tcW w:w="579" w:type="dxa"/>
            <w:shd w:val="clear" w:color="auto" w:fill="auto"/>
          </w:tcPr>
          <w:p w:rsidR="002F2CF9" w:rsidRPr="00197D59" w:rsidRDefault="00DB196B" w:rsidP="00A83620">
            <w:pPr>
              <w:rPr>
                <w:rFonts w:ascii="Arial" w:hAnsi="Arial" w:cs="Arial"/>
                <w:sz w:val="20"/>
                <w:szCs w:val="20"/>
              </w:rPr>
            </w:pPr>
            <w:r>
              <w:rPr>
                <w:rFonts w:ascii="Arial" w:hAnsi="Arial" w:cs="Arial"/>
                <w:sz w:val="20"/>
                <w:szCs w:val="20"/>
              </w:rPr>
              <w:t>4</w:t>
            </w:r>
          </w:p>
        </w:tc>
      </w:tr>
      <w:tr w:rsidR="00FA5671" w:rsidRPr="00197D59" w:rsidTr="0012333A">
        <w:trPr>
          <w:trHeight w:val="1253"/>
        </w:trPr>
        <w:tc>
          <w:tcPr>
            <w:tcW w:w="3031" w:type="dxa"/>
          </w:tcPr>
          <w:p w:rsidR="00FA5671" w:rsidRDefault="00FA5671" w:rsidP="00FA5671">
            <w:pPr>
              <w:rPr>
                <w:rFonts w:ascii="Arial" w:hAnsi="Arial" w:cs="Arial"/>
                <w:sz w:val="20"/>
                <w:szCs w:val="20"/>
              </w:rPr>
            </w:pPr>
            <w:r>
              <w:rPr>
                <w:rFonts w:ascii="Arial" w:hAnsi="Arial" w:cs="Arial"/>
                <w:sz w:val="20"/>
                <w:szCs w:val="20"/>
              </w:rPr>
              <w:t xml:space="preserve">Negative results are not confirmed with laboratory PCR (as recommended in manufacturer manual). A risk of false negatives and thus infectious patients being placed on shared wards which may then require closing for deep clean if patient has subsequent positive COVID result. </w:t>
            </w:r>
          </w:p>
        </w:tc>
        <w:tc>
          <w:tcPr>
            <w:tcW w:w="2747" w:type="dxa"/>
          </w:tcPr>
          <w:p w:rsidR="00FA5671" w:rsidRDefault="00FA5671" w:rsidP="00FA5671">
            <w:pPr>
              <w:rPr>
                <w:rFonts w:ascii="Arial" w:eastAsia="Times New Roman" w:hAnsi="Arial" w:cs="Arial"/>
                <w:iCs/>
                <w:sz w:val="20"/>
                <w:szCs w:val="20"/>
              </w:rPr>
            </w:pPr>
            <w:r>
              <w:rPr>
                <w:rFonts w:ascii="Arial" w:eastAsia="Times New Roman" w:hAnsi="Arial" w:cs="Arial"/>
                <w:iCs/>
                <w:sz w:val="20"/>
                <w:szCs w:val="20"/>
              </w:rPr>
              <w:t>Microbiology team are happy that positive results only are repeated. The laboratory does not have capacity to repeat all POCT COVID tests.</w:t>
            </w:r>
          </w:p>
          <w:p w:rsidR="00402E75" w:rsidRDefault="00402E75" w:rsidP="00FA5671">
            <w:pPr>
              <w:rPr>
                <w:rFonts w:ascii="Arial" w:eastAsia="Times New Roman" w:hAnsi="Arial" w:cs="Arial"/>
                <w:iCs/>
                <w:sz w:val="20"/>
                <w:szCs w:val="20"/>
              </w:rPr>
            </w:pPr>
            <w:r>
              <w:rPr>
                <w:rFonts w:ascii="Arial" w:eastAsia="Times New Roman" w:hAnsi="Arial" w:cs="Arial"/>
                <w:iCs/>
                <w:sz w:val="20"/>
                <w:szCs w:val="20"/>
              </w:rPr>
              <w:t>A</w:t>
            </w:r>
            <w:r w:rsidR="008D3DB4">
              <w:rPr>
                <w:rFonts w:ascii="Arial" w:eastAsia="Times New Roman" w:hAnsi="Arial" w:cs="Arial"/>
                <w:iCs/>
                <w:sz w:val="20"/>
                <w:szCs w:val="20"/>
              </w:rPr>
              <w:t>ll symptomatic patients are simultaneously</w:t>
            </w:r>
            <w:r>
              <w:rPr>
                <w:rFonts w:ascii="Arial" w:eastAsia="Times New Roman" w:hAnsi="Arial" w:cs="Arial"/>
                <w:iCs/>
                <w:sz w:val="20"/>
                <w:szCs w:val="20"/>
              </w:rPr>
              <w:t xml:space="preserve"> swabbed for COVID</w:t>
            </w:r>
            <w:r w:rsidR="008D3DB4">
              <w:rPr>
                <w:rFonts w:ascii="Arial" w:eastAsia="Times New Roman" w:hAnsi="Arial" w:cs="Arial"/>
                <w:iCs/>
                <w:sz w:val="20"/>
                <w:szCs w:val="20"/>
              </w:rPr>
              <w:t xml:space="preserve"> for</w:t>
            </w:r>
            <w:r>
              <w:rPr>
                <w:rFonts w:ascii="Arial" w:eastAsia="Times New Roman" w:hAnsi="Arial" w:cs="Arial"/>
                <w:iCs/>
                <w:sz w:val="20"/>
                <w:szCs w:val="20"/>
              </w:rPr>
              <w:t xml:space="preserve"> the ID N</w:t>
            </w:r>
            <w:r w:rsidR="008D3DB4">
              <w:rPr>
                <w:rFonts w:ascii="Arial" w:eastAsia="Times New Roman" w:hAnsi="Arial" w:cs="Arial"/>
                <w:iCs/>
                <w:sz w:val="20"/>
                <w:szCs w:val="20"/>
              </w:rPr>
              <w:t>ow and C</w:t>
            </w:r>
            <w:r>
              <w:rPr>
                <w:rFonts w:ascii="Arial" w:eastAsia="Times New Roman" w:hAnsi="Arial" w:cs="Arial"/>
                <w:iCs/>
                <w:sz w:val="20"/>
                <w:szCs w:val="20"/>
              </w:rPr>
              <w:t>eph</w:t>
            </w:r>
            <w:r w:rsidR="008D3DB4">
              <w:rPr>
                <w:rFonts w:ascii="Arial" w:eastAsia="Times New Roman" w:hAnsi="Arial" w:cs="Arial"/>
                <w:iCs/>
                <w:sz w:val="20"/>
                <w:szCs w:val="20"/>
              </w:rPr>
              <w:t>e</w:t>
            </w:r>
            <w:r>
              <w:rPr>
                <w:rFonts w:ascii="Arial" w:eastAsia="Times New Roman" w:hAnsi="Arial" w:cs="Arial"/>
                <w:iCs/>
                <w:sz w:val="20"/>
                <w:szCs w:val="20"/>
              </w:rPr>
              <w:t>id regardless of ID Now result.</w:t>
            </w:r>
          </w:p>
          <w:p w:rsidR="00402E75" w:rsidRDefault="00D358AE" w:rsidP="00FA5671">
            <w:pPr>
              <w:rPr>
                <w:rFonts w:ascii="Arial" w:eastAsia="Times New Roman" w:hAnsi="Arial" w:cs="Arial"/>
                <w:iCs/>
                <w:sz w:val="20"/>
                <w:szCs w:val="20"/>
              </w:rPr>
            </w:pPr>
            <w:r>
              <w:rPr>
                <w:rFonts w:ascii="Arial" w:eastAsia="Times New Roman" w:hAnsi="Arial" w:cs="Arial"/>
                <w:iCs/>
                <w:sz w:val="20"/>
                <w:szCs w:val="20"/>
              </w:rPr>
              <w:t xml:space="preserve">All in patients have lab COVID tests at day </w:t>
            </w:r>
            <w:r w:rsidR="00402E75">
              <w:rPr>
                <w:rFonts w:ascii="Arial" w:eastAsia="Times New Roman" w:hAnsi="Arial" w:cs="Arial"/>
                <w:iCs/>
                <w:sz w:val="20"/>
                <w:szCs w:val="20"/>
              </w:rPr>
              <w:t>2, 3</w:t>
            </w:r>
            <w:r w:rsidR="0092086C">
              <w:rPr>
                <w:rFonts w:ascii="Arial" w:eastAsia="Times New Roman" w:hAnsi="Arial" w:cs="Arial"/>
                <w:iCs/>
                <w:sz w:val="20"/>
                <w:szCs w:val="20"/>
              </w:rPr>
              <w:t>, 5</w:t>
            </w:r>
          </w:p>
          <w:p w:rsidR="0092086C" w:rsidRDefault="00402E75" w:rsidP="00FA5671">
            <w:pPr>
              <w:rPr>
                <w:rFonts w:ascii="Arial" w:eastAsia="Times New Roman" w:hAnsi="Arial" w:cs="Arial"/>
                <w:iCs/>
                <w:sz w:val="20"/>
                <w:szCs w:val="20"/>
              </w:rPr>
            </w:pPr>
            <w:r>
              <w:rPr>
                <w:rFonts w:ascii="Arial" w:eastAsia="Times New Roman" w:hAnsi="Arial" w:cs="Arial"/>
                <w:iCs/>
                <w:sz w:val="20"/>
                <w:szCs w:val="20"/>
              </w:rPr>
              <w:t xml:space="preserve"> &amp; </w:t>
            </w:r>
            <w:r w:rsidR="0092086C">
              <w:rPr>
                <w:rFonts w:ascii="Arial" w:eastAsia="Times New Roman" w:hAnsi="Arial" w:cs="Arial"/>
                <w:iCs/>
                <w:sz w:val="20"/>
                <w:szCs w:val="20"/>
              </w:rPr>
              <w:t>7</w:t>
            </w:r>
            <w:r w:rsidR="00D358AE">
              <w:rPr>
                <w:rFonts w:ascii="Arial" w:eastAsia="Times New Roman" w:hAnsi="Arial" w:cs="Arial"/>
                <w:iCs/>
                <w:sz w:val="20"/>
                <w:szCs w:val="20"/>
              </w:rPr>
              <w:t xml:space="preserve"> of stay. </w:t>
            </w:r>
          </w:p>
          <w:p w:rsidR="00D358AE" w:rsidRDefault="00D358AE" w:rsidP="00FA5671">
            <w:pPr>
              <w:rPr>
                <w:rFonts w:ascii="Arial" w:eastAsia="Times New Roman" w:hAnsi="Arial" w:cs="Arial"/>
                <w:iCs/>
                <w:sz w:val="20"/>
                <w:szCs w:val="20"/>
              </w:rPr>
            </w:pPr>
            <w:r>
              <w:rPr>
                <w:rFonts w:ascii="Arial" w:eastAsia="Times New Roman" w:hAnsi="Arial" w:cs="Arial"/>
                <w:iCs/>
                <w:sz w:val="20"/>
                <w:szCs w:val="20"/>
              </w:rPr>
              <w:t>Clinical presentation must also be considered for patient risk of having COVID.</w:t>
            </w:r>
          </w:p>
          <w:p w:rsidR="00FA5671" w:rsidRDefault="00FA5671" w:rsidP="00FA5671">
            <w:pPr>
              <w:rPr>
                <w:rFonts w:ascii="Arial" w:eastAsia="Times New Roman" w:hAnsi="Arial" w:cs="Arial"/>
                <w:iCs/>
                <w:sz w:val="20"/>
                <w:szCs w:val="20"/>
              </w:rPr>
            </w:pPr>
            <w:r>
              <w:rPr>
                <w:rFonts w:ascii="Arial" w:eastAsia="Times New Roman" w:hAnsi="Arial" w:cs="Arial"/>
                <w:iCs/>
                <w:sz w:val="20"/>
                <w:szCs w:val="20"/>
              </w:rPr>
              <w:t xml:space="preserve">The manufacturer states </w:t>
            </w:r>
          </w:p>
          <w:p w:rsidR="00FA5671"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sensitivity = 100%(Ct&lt;30)</w:t>
            </w:r>
          </w:p>
          <w:p w:rsidR="00FA5671" w:rsidRPr="00ED1C76"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 xml:space="preserve">specificity = 98.38% </w:t>
            </w:r>
          </w:p>
          <w:p w:rsidR="00FA5671" w:rsidRPr="00ED1C76"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PPV = 95.10%</w:t>
            </w:r>
          </w:p>
          <w:p w:rsidR="00FA5671"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 xml:space="preserve">NPV = 96.37%. </w:t>
            </w:r>
          </w:p>
          <w:p w:rsidR="00FA5671" w:rsidRPr="00ED1C76" w:rsidRDefault="00FA5671" w:rsidP="00FA5671">
            <w:pPr>
              <w:rPr>
                <w:rFonts w:ascii="Arial" w:eastAsia="Times New Roman" w:hAnsi="Arial" w:cs="Arial"/>
                <w:iCs/>
                <w:sz w:val="20"/>
                <w:szCs w:val="20"/>
              </w:rPr>
            </w:pPr>
          </w:p>
          <w:p w:rsidR="00FA5671" w:rsidRDefault="00FA5671" w:rsidP="00FA5671">
            <w:pPr>
              <w:rPr>
                <w:rFonts w:ascii="Arial" w:eastAsia="Times New Roman" w:hAnsi="Arial" w:cs="Arial"/>
                <w:iCs/>
                <w:sz w:val="20"/>
                <w:szCs w:val="20"/>
              </w:rPr>
            </w:pPr>
            <w:r>
              <w:rPr>
                <w:rFonts w:ascii="Arial" w:eastAsia="Times New Roman" w:hAnsi="Arial" w:cs="Arial"/>
                <w:iCs/>
                <w:sz w:val="20"/>
                <w:szCs w:val="20"/>
              </w:rPr>
              <w:t xml:space="preserve">We found (n=30) (all </w:t>
            </w:r>
            <w:proofErr w:type="spellStart"/>
            <w:r>
              <w:rPr>
                <w:rFonts w:ascii="Arial" w:eastAsia="Times New Roman" w:hAnsi="Arial" w:cs="Arial"/>
                <w:iCs/>
                <w:sz w:val="20"/>
                <w:szCs w:val="20"/>
              </w:rPr>
              <w:t>ct</w:t>
            </w:r>
            <w:proofErr w:type="spellEnd"/>
            <w:r>
              <w:rPr>
                <w:rFonts w:ascii="Arial" w:eastAsia="Times New Roman" w:hAnsi="Arial" w:cs="Arial"/>
                <w:iCs/>
                <w:sz w:val="20"/>
                <w:szCs w:val="20"/>
              </w:rPr>
              <w:t xml:space="preserve"> values):</w:t>
            </w:r>
          </w:p>
          <w:p w:rsidR="00FA5671" w:rsidRPr="00ED1C76" w:rsidRDefault="00FA5671" w:rsidP="00FA5671">
            <w:pPr>
              <w:tabs>
                <w:tab w:val="right" w:pos="2531"/>
              </w:tabs>
              <w:rPr>
                <w:rFonts w:ascii="Arial" w:eastAsia="Times New Roman" w:hAnsi="Arial" w:cs="Arial"/>
                <w:iCs/>
                <w:sz w:val="20"/>
                <w:szCs w:val="20"/>
              </w:rPr>
            </w:pPr>
            <w:r w:rsidRPr="00ED1C76">
              <w:rPr>
                <w:rFonts w:ascii="Arial" w:eastAsia="Times New Roman" w:hAnsi="Arial" w:cs="Arial"/>
                <w:iCs/>
                <w:sz w:val="20"/>
                <w:szCs w:val="20"/>
              </w:rPr>
              <w:t xml:space="preserve">PPV </w:t>
            </w:r>
            <w:r>
              <w:rPr>
                <w:rFonts w:ascii="Arial" w:eastAsia="Times New Roman" w:hAnsi="Arial" w:cs="Arial"/>
                <w:iCs/>
                <w:sz w:val="20"/>
                <w:szCs w:val="20"/>
              </w:rPr>
              <w:t>= 100%</w:t>
            </w:r>
            <w:r>
              <w:rPr>
                <w:rFonts w:ascii="Arial" w:eastAsia="Times New Roman" w:hAnsi="Arial" w:cs="Arial"/>
                <w:iCs/>
                <w:sz w:val="20"/>
                <w:szCs w:val="20"/>
              </w:rPr>
              <w:tab/>
            </w:r>
          </w:p>
          <w:p w:rsidR="00FA5671" w:rsidRPr="00ED1C76"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 xml:space="preserve">NPV </w:t>
            </w:r>
            <w:r>
              <w:rPr>
                <w:rFonts w:ascii="Arial" w:eastAsia="Times New Roman" w:hAnsi="Arial" w:cs="Arial"/>
                <w:iCs/>
                <w:sz w:val="20"/>
                <w:szCs w:val="20"/>
              </w:rPr>
              <w:t>= 73.68%</w:t>
            </w:r>
          </w:p>
          <w:p w:rsidR="00FA5671" w:rsidRPr="00ED1C76"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Sensitivity</w:t>
            </w:r>
            <w:r>
              <w:rPr>
                <w:rFonts w:ascii="Arial" w:eastAsia="Times New Roman" w:hAnsi="Arial" w:cs="Arial"/>
                <w:iCs/>
                <w:sz w:val="20"/>
                <w:szCs w:val="20"/>
              </w:rPr>
              <w:t xml:space="preserve"> = 68.75%</w:t>
            </w:r>
          </w:p>
          <w:p w:rsidR="00FA5671" w:rsidRDefault="00FA5671" w:rsidP="00FA5671">
            <w:pPr>
              <w:rPr>
                <w:rFonts w:ascii="Arial" w:eastAsia="Times New Roman" w:hAnsi="Arial" w:cs="Arial"/>
                <w:iCs/>
                <w:sz w:val="20"/>
                <w:szCs w:val="20"/>
              </w:rPr>
            </w:pPr>
            <w:r w:rsidRPr="00ED1C76">
              <w:rPr>
                <w:rFonts w:ascii="Arial" w:eastAsia="Times New Roman" w:hAnsi="Arial" w:cs="Arial"/>
                <w:iCs/>
                <w:sz w:val="20"/>
                <w:szCs w:val="20"/>
              </w:rPr>
              <w:t xml:space="preserve">Specificity </w:t>
            </w:r>
            <w:r>
              <w:rPr>
                <w:rFonts w:ascii="Arial" w:eastAsia="Times New Roman" w:hAnsi="Arial" w:cs="Arial"/>
                <w:iCs/>
                <w:sz w:val="20"/>
                <w:szCs w:val="20"/>
              </w:rPr>
              <w:t>= 100%</w:t>
            </w:r>
          </w:p>
          <w:p w:rsidR="00FA5671" w:rsidRDefault="00FA5671" w:rsidP="00FA5671">
            <w:pPr>
              <w:rPr>
                <w:rFonts w:ascii="Arial" w:eastAsia="Times New Roman" w:hAnsi="Arial" w:cs="Arial"/>
                <w:iCs/>
                <w:sz w:val="20"/>
                <w:szCs w:val="20"/>
              </w:rPr>
            </w:pPr>
          </w:p>
          <w:p w:rsidR="00FA5671" w:rsidRPr="008F6A36" w:rsidRDefault="00FA5671" w:rsidP="00FA5671">
            <w:pPr>
              <w:rPr>
                <w:rFonts w:ascii="Arial" w:eastAsia="Times New Roman" w:hAnsi="Arial" w:cs="Arial"/>
                <w:iCs/>
                <w:sz w:val="20"/>
                <w:szCs w:val="20"/>
              </w:rPr>
            </w:pPr>
            <w:r w:rsidRPr="008F6A36">
              <w:rPr>
                <w:rFonts w:ascii="Arial" w:eastAsia="Times New Roman" w:hAnsi="Arial" w:cs="Arial"/>
                <w:iCs/>
                <w:sz w:val="20"/>
                <w:szCs w:val="20"/>
              </w:rPr>
              <w:t>Ct&lt;30:</w:t>
            </w:r>
          </w:p>
          <w:p w:rsidR="00FA5671" w:rsidRPr="008F6A36" w:rsidRDefault="00FA5671" w:rsidP="00FA5671">
            <w:pPr>
              <w:rPr>
                <w:rFonts w:ascii="Arial" w:eastAsia="Times New Roman" w:hAnsi="Arial" w:cs="Arial"/>
                <w:iCs/>
                <w:sz w:val="20"/>
                <w:szCs w:val="20"/>
              </w:rPr>
            </w:pPr>
            <w:r w:rsidRPr="008F6A36">
              <w:rPr>
                <w:rFonts w:ascii="Arial" w:eastAsia="Times New Roman" w:hAnsi="Arial" w:cs="Arial"/>
                <w:iCs/>
                <w:sz w:val="20"/>
                <w:szCs w:val="20"/>
              </w:rPr>
              <w:t>PPV</w:t>
            </w:r>
            <w:r>
              <w:rPr>
                <w:rFonts w:ascii="Arial" w:eastAsia="Times New Roman" w:hAnsi="Arial" w:cs="Arial"/>
                <w:iCs/>
                <w:sz w:val="20"/>
                <w:szCs w:val="20"/>
              </w:rPr>
              <w:t xml:space="preserve"> =</w:t>
            </w:r>
            <w:r w:rsidRPr="008F6A36">
              <w:rPr>
                <w:rFonts w:ascii="Arial" w:eastAsia="Times New Roman" w:hAnsi="Arial" w:cs="Arial"/>
                <w:iCs/>
                <w:sz w:val="20"/>
                <w:szCs w:val="20"/>
              </w:rPr>
              <w:t xml:space="preserve"> 100% </w:t>
            </w:r>
          </w:p>
          <w:p w:rsidR="00FA5671" w:rsidRPr="008F6A36" w:rsidRDefault="00FA5671" w:rsidP="00FA5671">
            <w:pPr>
              <w:rPr>
                <w:rFonts w:ascii="Arial" w:eastAsia="Times New Roman" w:hAnsi="Arial" w:cs="Arial"/>
                <w:iCs/>
                <w:sz w:val="20"/>
                <w:szCs w:val="20"/>
              </w:rPr>
            </w:pPr>
            <w:r w:rsidRPr="008F6A36">
              <w:rPr>
                <w:rFonts w:ascii="Arial" w:eastAsia="Times New Roman" w:hAnsi="Arial" w:cs="Arial"/>
                <w:iCs/>
                <w:sz w:val="20"/>
                <w:szCs w:val="20"/>
              </w:rPr>
              <w:t xml:space="preserve">NPV </w:t>
            </w:r>
            <w:r>
              <w:rPr>
                <w:rFonts w:ascii="Arial" w:eastAsia="Times New Roman" w:hAnsi="Arial" w:cs="Arial"/>
                <w:iCs/>
                <w:sz w:val="20"/>
                <w:szCs w:val="20"/>
              </w:rPr>
              <w:t xml:space="preserve">= </w:t>
            </w:r>
            <w:r w:rsidRPr="008F6A36">
              <w:rPr>
                <w:rFonts w:ascii="Arial" w:eastAsia="Times New Roman" w:hAnsi="Arial" w:cs="Arial"/>
                <w:iCs/>
                <w:sz w:val="20"/>
                <w:szCs w:val="20"/>
              </w:rPr>
              <w:t xml:space="preserve">93.33% </w:t>
            </w:r>
          </w:p>
          <w:p w:rsidR="00FA5671" w:rsidRPr="008F6A36" w:rsidRDefault="00FA5671" w:rsidP="00FA5671">
            <w:pPr>
              <w:rPr>
                <w:rFonts w:ascii="Arial" w:eastAsia="Times New Roman" w:hAnsi="Arial" w:cs="Arial"/>
                <w:iCs/>
                <w:sz w:val="20"/>
                <w:szCs w:val="20"/>
              </w:rPr>
            </w:pPr>
            <w:r w:rsidRPr="008F6A36">
              <w:rPr>
                <w:rFonts w:ascii="Arial" w:eastAsia="Times New Roman" w:hAnsi="Arial" w:cs="Arial"/>
                <w:iCs/>
                <w:sz w:val="20"/>
                <w:szCs w:val="20"/>
              </w:rPr>
              <w:t>Sensitivity</w:t>
            </w:r>
            <w:r>
              <w:rPr>
                <w:rFonts w:ascii="Arial" w:eastAsia="Times New Roman" w:hAnsi="Arial" w:cs="Arial"/>
                <w:iCs/>
                <w:sz w:val="20"/>
                <w:szCs w:val="20"/>
              </w:rPr>
              <w:t xml:space="preserve"> = </w:t>
            </w:r>
            <w:r w:rsidRPr="008F6A36">
              <w:rPr>
                <w:rFonts w:ascii="Arial" w:eastAsia="Times New Roman" w:hAnsi="Arial" w:cs="Arial"/>
                <w:iCs/>
                <w:sz w:val="20"/>
                <w:szCs w:val="20"/>
              </w:rPr>
              <w:t xml:space="preserve"> 91.67%</w:t>
            </w:r>
          </w:p>
          <w:p w:rsidR="00FA5671" w:rsidRPr="008F6A36" w:rsidRDefault="00FA5671" w:rsidP="00FA5671">
            <w:pPr>
              <w:rPr>
                <w:rFonts w:ascii="Arial" w:eastAsia="Times New Roman" w:hAnsi="Arial" w:cs="Arial"/>
                <w:iCs/>
                <w:sz w:val="20"/>
                <w:szCs w:val="20"/>
              </w:rPr>
            </w:pPr>
            <w:r w:rsidRPr="008F6A36">
              <w:rPr>
                <w:rFonts w:ascii="Arial" w:eastAsia="Times New Roman" w:hAnsi="Arial" w:cs="Arial"/>
                <w:iCs/>
                <w:sz w:val="20"/>
                <w:szCs w:val="20"/>
              </w:rPr>
              <w:t xml:space="preserve">Specificity </w:t>
            </w:r>
            <w:r>
              <w:rPr>
                <w:rFonts w:ascii="Arial" w:eastAsia="Times New Roman" w:hAnsi="Arial" w:cs="Arial"/>
                <w:iCs/>
                <w:sz w:val="20"/>
                <w:szCs w:val="20"/>
              </w:rPr>
              <w:t xml:space="preserve">= </w:t>
            </w:r>
            <w:r w:rsidRPr="008F6A36">
              <w:rPr>
                <w:rFonts w:ascii="Arial" w:eastAsia="Times New Roman" w:hAnsi="Arial" w:cs="Arial"/>
                <w:iCs/>
                <w:sz w:val="20"/>
                <w:szCs w:val="20"/>
              </w:rPr>
              <w:t>100%</w:t>
            </w:r>
          </w:p>
          <w:p w:rsidR="00FA5671" w:rsidRDefault="00FA5671" w:rsidP="00FA5671">
            <w:pPr>
              <w:rPr>
                <w:rFonts w:ascii="Arial" w:eastAsia="Times New Roman" w:hAnsi="Arial" w:cs="Arial"/>
                <w:iCs/>
                <w:sz w:val="20"/>
                <w:szCs w:val="20"/>
              </w:rPr>
            </w:pPr>
          </w:p>
          <w:p w:rsidR="00FA5671" w:rsidRPr="00F41744" w:rsidRDefault="00FA5671" w:rsidP="00FA5671">
            <w:pPr>
              <w:rPr>
                <w:rFonts w:ascii="Arial" w:eastAsia="Times New Roman" w:hAnsi="Arial" w:cs="Arial"/>
                <w:iCs/>
                <w:sz w:val="20"/>
                <w:szCs w:val="20"/>
              </w:rPr>
            </w:pPr>
          </w:p>
        </w:tc>
        <w:tc>
          <w:tcPr>
            <w:tcW w:w="439" w:type="dxa"/>
            <w:shd w:val="clear" w:color="auto" w:fill="auto"/>
          </w:tcPr>
          <w:p w:rsidR="00FA5671" w:rsidRDefault="00F03F69" w:rsidP="00FA5671">
            <w:pPr>
              <w:jc w:val="center"/>
              <w:rPr>
                <w:rFonts w:ascii="Arial" w:hAnsi="Arial" w:cs="Arial"/>
                <w:sz w:val="20"/>
                <w:szCs w:val="20"/>
              </w:rPr>
            </w:pPr>
            <w:r>
              <w:rPr>
                <w:rFonts w:ascii="Arial" w:hAnsi="Arial" w:cs="Arial"/>
                <w:sz w:val="20"/>
                <w:szCs w:val="20"/>
              </w:rPr>
              <w:t>2</w:t>
            </w:r>
          </w:p>
        </w:tc>
        <w:tc>
          <w:tcPr>
            <w:tcW w:w="439" w:type="dxa"/>
            <w:shd w:val="clear" w:color="auto" w:fill="auto"/>
          </w:tcPr>
          <w:p w:rsidR="00FA5671" w:rsidRDefault="00F03F69" w:rsidP="00FA5671">
            <w:pPr>
              <w:jc w:val="center"/>
              <w:rPr>
                <w:rFonts w:ascii="Arial" w:hAnsi="Arial" w:cs="Arial"/>
                <w:sz w:val="20"/>
                <w:szCs w:val="20"/>
              </w:rPr>
            </w:pPr>
            <w:r>
              <w:rPr>
                <w:rFonts w:ascii="Arial" w:hAnsi="Arial" w:cs="Arial"/>
                <w:sz w:val="20"/>
                <w:szCs w:val="20"/>
              </w:rPr>
              <w:t>4</w:t>
            </w:r>
          </w:p>
        </w:tc>
        <w:tc>
          <w:tcPr>
            <w:tcW w:w="550" w:type="dxa"/>
            <w:shd w:val="clear" w:color="auto" w:fill="auto"/>
          </w:tcPr>
          <w:p w:rsidR="00FA5671" w:rsidRDefault="00F03F69" w:rsidP="00FA5671">
            <w:pPr>
              <w:jc w:val="center"/>
              <w:rPr>
                <w:rFonts w:ascii="Arial" w:hAnsi="Arial" w:cs="Arial"/>
                <w:sz w:val="20"/>
                <w:szCs w:val="20"/>
              </w:rPr>
            </w:pPr>
            <w:r>
              <w:rPr>
                <w:rFonts w:ascii="Arial" w:hAnsi="Arial" w:cs="Arial"/>
                <w:sz w:val="20"/>
                <w:szCs w:val="20"/>
              </w:rPr>
              <w:t>8</w:t>
            </w:r>
          </w:p>
        </w:tc>
        <w:tc>
          <w:tcPr>
            <w:tcW w:w="3108" w:type="dxa"/>
          </w:tcPr>
          <w:p w:rsidR="00FA5671" w:rsidRDefault="001061B9" w:rsidP="00FA5671">
            <w:pPr>
              <w:rPr>
                <w:rFonts w:ascii="Arial" w:hAnsi="Arial" w:cs="Arial"/>
                <w:sz w:val="20"/>
                <w:szCs w:val="20"/>
              </w:rPr>
            </w:pPr>
            <w:r w:rsidRPr="00A3709D">
              <w:rPr>
                <w:rFonts w:ascii="Arial" w:hAnsi="Arial" w:cs="Arial"/>
                <w:sz w:val="20"/>
                <w:szCs w:val="20"/>
              </w:rPr>
              <w:t>Retrospe</w:t>
            </w:r>
            <w:r>
              <w:rPr>
                <w:rFonts w:ascii="Arial" w:hAnsi="Arial" w:cs="Arial"/>
                <w:sz w:val="20"/>
                <w:szCs w:val="20"/>
              </w:rPr>
              <w:t>ctive validation of</w:t>
            </w:r>
            <w:r w:rsidRPr="00A3709D">
              <w:rPr>
                <w:rFonts w:ascii="Arial" w:hAnsi="Arial" w:cs="Arial"/>
                <w:sz w:val="20"/>
                <w:szCs w:val="20"/>
              </w:rPr>
              <w:t xml:space="preserve"> results that are </w:t>
            </w:r>
            <w:r>
              <w:rPr>
                <w:rFonts w:ascii="Arial" w:hAnsi="Arial" w:cs="Arial"/>
                <w:sz w:val="20"/>
                <w:szCs w:val="20"/>
              </w:rPr>
              <w:t>repeated in the laboratory. To demonstrate the performan</w:t>
            </w:r>
            <w:r w:rsidR="0012333A">
              <w:rPr>
                <w:rFonts w:ascii="Arial" w:hAnsi="Arial" w:cs="Arial"/>
                <w:sz w:val="20"/>
                <w:szCs w:val="20"/>
              </w:rPr>
              <w:t>ce of negative results produced. See below:</w:t>
            </w:r>
          </w:p>
          <w:p w:rsidR="0012333A" w:rsidRDefault="0012333A" w:rsidP="00FA5671">
            <w:pPr>
              <w:rPr>
                <w:rFonts w:ascii="Arial" w:hAnsi="Arial" w:cs="Arial"/>
                <w:sz w:val="20"/>
                <w:szCs w:val="20"/>
              </w:rPr>
            </w:pPr>
          </w:p>
          <w:p w:rsidR="0012333A" w:rsidRDefault="0012333A" w:rsidP="00FA5671">
            <w:pPr>
              <w:rPr>
                <w:rFonts w:ascii="Arial" w:hAnsi="Arial" w:cs="Arial"/>
                <w:sz w:val="20"/>
                <w:szCs w:val="20"/>
              </w:rPr>
            </w:pPr>
          </w:p>
          <w:p w:rsidR="0012333A" w:rsidRDefault="0012333A" w:rsidP="00FA5671">
            <w:pPr>
              <w:rPr>
                <w:rFonts w:ascii="Arial" w:hAnsi="Arial" w:cs="Arial"/>
                <w:sz w:val="20"/>
                <w:szCs w:val="20"/>
              </w:rPr>
            </w:pPr>
          </w:p>
          <w:p w:rsidR="00A02D21" w:rsidRDefault="00A02D21" w:rsidP="00FA5671">
            <w:pPr>
              <w:rPr>
                <w:rFonts w:ascii="Arial" w:hAnsi="Arial" w:cs="Arial"/>
                <w:sz w:val="20"/>
                <w:szCs w:val="20"/>
              </w:rPr>
            </w:pPr>
          </w:p>
          <w:p w:rsidR="00A02D21" w:rsidRDefault="00A02D21" w:rsidP="00FA5671">
            <w:pPr>
              <w:rPr>
                <w:rFonts w:ascii="Arial" w:hAnsi="Arial" w:cs="Arial"/>
                <w:sz w:val="20"/>
                <w:szCs w:val="20"/>
              </w:rPr>
            </w:pPr>
          </w:p>
          <w:tbl>
            <w:tblPr>
              <w:tblpPr w:leftFromText="180" w:rightFromText="180" w:vertAnchor="text" w:horzAnchor="margin" w:tblpY="102"/>
              <w:tblOverlap w:val="never"/>
              <w:tblW w:w="3085" w:type="dxa"/>
              <w:tblLayout w:type="fixed"/>
              <w:tblLook w:val="04A0" w:firstRow="1" w:lastRow="0" w:firstColumn="1" w:lastColumn="0" w:noHBand="0" w:noVBand="1"/>
            </w:tblPr>
            <w:tblGrid>
              <w:gridCol w:w="846"/>
              <w:gridCol w:w="822"/>
              <w:gridCol w:w="708"/>
              <w:gridCol w:w="709"/>
            </w:tblGrid>
            <w:tr w:rsidR="0012333A" w:rsidRPr="0012333A" w:rsidTr="0012333A">
              <w:trPr>
                <w:trHeight w:val="300"/>
              </w:trPr>
              <w:tc>
                <w:tcPr>
                  <w:tcW w:w="3085" w:type="dxa"/>
                  <w:gridSpan w:val="4"/>
                  <w:vMerge w:val="restart"/>
                  <w:tcBorders>
                    <w:top w:val="single" w:sz="4" w:space="0" w:color="auto"/>
                    <w:left w:val="single" w:sz="4" w:space="0" w:color="auto"/>
                    <w:bottom w:val="single" w:sz="4" w:space="0" w:color="000000"/>
                    <w:right w:val="single" w:sz="4" w:space="0" w:color="000000"/>
                  </w:tcBorders>
                  <w:shd w:val="clear" w:color="000000" w:fill="F2F2F2"/>
                  <w:vAlign w:val="bottom"/>
                  <w:hideMark/>
                </w:tcPr>
                <w:p w:rsidR="0012333A" w:rsidRPr="0012333A" w:rsidRDefault="0012333A" w:rsidP="0012333A">
                  <w:pPr>
                    <w:spacing w:after="0" w:line="240" w:lineRule="auto"/>
                    <w:jc w:val="center"/>
                    <w:rPr>
                      <w:rFonts w:ascii="Calibri" w:eastAsia="Times New Roman" w:hAnsi="Calibri" w:cs="Calibri"/>
                      <w:b/>
                      <w:bCs/>
                      <w:color w:val="000000"/>
                      <w:lang w:eastAsia="en-GB"/>
                    </w:rPr>
                  </w:pPr>
                  <w:r w:rsidRPr="0012333A">
                    <w:rPr>
                      <w:rFonts w:ascii="Calibri" w:eastAsia="Times New Roman" w:hAnsi="Calibri" w:cs="Calibri"/>
                      <w:b/>
                      <w:bCs/>
                      <w:color w:val="000000"/>
                      <w:lang w:eastAsia="en-GB"/>
                    </w:rPr>
                    <w:t xml:space="preserve">Comparison data of 122 patients ran on both ID Now and </w:t>
                  </w:r>
                  <w:proofErr w:type="spellStart"/>
                  <w:r w:rsidRPr="0012333A">
                    <w:rPr>
                      <w:rFonts w:ascii="Calibri" w:eastAsia="Times New Roman" w:hAnsi="Calibri" w:cs="Calibri"/>
                      <w:b/>
                      <w:bCs/>
                      <w:color w:val="000000"/>
                      <w:lang w:eastAsia="en-GB"/>
                    </w:rPr>
                    <w:t>Cephid</w:t>
                  </w:r>
                  <w:proofErr w:type="spellEnd"/>
                </w:p>
              </w:tc>
            </w:tr>
            <w:tr w:rsidR="0012333A" w:rsidRPr="0012333A" w:rsidTr="0012333A">
              <w:trPr>
                <w:trHeight w:val="509"/>
              </w:trPr>
              <w:tc>
                <w:tcPr>
                  <w:tcW w:w="3085" w:type="dxa"/>
                  <w:gridSpan w:val="4"/>
                  <w:vMerge/>
                  <w:tcBorders>
                    <w:top w:val="single" w:sz="4" w:space="0" w:color="auto"/>
                    <w:left w:val="single" w:sz="4" w:space="0" w:color="auto"/>
                    <w:bottom w:val="single" w:sz="4" w:space="0" w:color="000000"/>
                    <w:right w:val="single" w:sz="4" w:space="0" w:color="000000"/>
                  </w:tcBorders>
                  <w:vAlign w:val="center"/>
                  <w:hideMark/>
                </w:tcPr>
                <w:p w:rsidR="0012333A" w:rsidRPr="0012333A" w:rsidRDefault="0012333A" w:rsidP="0012333A">
                  <w:pPr>
                    <w:spacing w:after="0" w:line="240" w:lineRule="auto"/>
                    <w:rPr>
                      <w:rFonts w:ascii="Calibri" w:eastAsia="Times New Roman" w:hAnsi="Calibri" w:cs="Calibri"/>
                      <w:b/>
                      <w:bCs/>
                      <w:color w:val="000000"/>
                      <w:lang w:eastAsia="en-GB"/>
                    </w:rPr>
                  </w:pPr>
                </w:p>
              </w:tc>
            </w:tr>
            <w:tr w:rsidR="0012333A" w:rsidRPr="0012333A" w:rsidTr="0040574B">
              <w:trPr>
                <w:trHeight w:val="300"/>
              </w:trPr>
              <w:tc>
                <w:tcPr>
                  <w:tcW w:w="846" w:type="dxa"/>
                  <w:tcBorders>
                    <w:top w:val="nil"/>
                    <w:left w:val="single" w:sz="8" w:space="0" w:color="auto"/>
                    <w:bottom w:val="nil"/>
                    <w:right w:val="nil"/>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c>
                <w:tcPr>
                  <w:tcW w:w="1530"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Lab platforms</w:t>
                  </w:r>
                </w:p>
              </w:tc>
              <w:tc>
                <w:tcPr>
                  <w:tcW w:w="709" w:type="dxa"/>
                  <w:tcBorders>
                    <w:top w:val="nil"/>
                    <w:left w:val="nil"/>
                    <w:bottom w:val="nil"/>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r w:rsidR="0012333A" w:rsidRPr="0012333A" w:rsidTr="0040574B">
              <w:trPr>
                <w:trHeight w:val="300"/>
              </w:trPr>
              <w:tc>
                <w:tcPr>
                  <w:tcW w:w="846" w:type="dxa"/>
                  <w:tcBorders>
                    <w:top w:val="nil"/>
                    <w:left w:val="single" w:sz="8" w:space="0" w:color="auto"/>
                    <w:bottom w:val="single" w:sz="4" w:space="0" w:color="auto"/>
                    <w:right w:val="single" w:sz="4" w:space="0" w:color="auto"/>
                  </w:tcBorders>
                  <w:shd w:val="clear" w:color="000000" w:fill="B7DEE8"/>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ID Now</w:t>
                  </w:r>
                </w:p>
              </w:tc>
              <w:tc>
                <w:tcPr>
                  <w:tcW w:w="822" w:type="dxa"/>
                  <w:tcBorders>
                    <w:top w:val="nil"/>
                    <w:left w:val="nil"/>
                    <w:bottom w:val="single" w:sz="4" w:space="0" w:color="auto"/>
                    <w:right w:val="single" w:sz="4" w:space="0" w:color="auto"/>
                  </w:tcBorders>
                  <w:shd w:val="clear" w:color="000000" w:fill="FFFF00"/>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proofErr w:type="spellStart"/>
                  <w:r w:rsidRPr="0012333A">
                    <w:rPr>
                      <w:rFonts w:ascii="Calibri" w:eastAsia="Times New Roman" w:hAnsi="Calibri" w:cs="Calibri"/>
                      <w:color w:val="000000"/>
                      <w:lang w:eastAsia="en-GB"/>
                    </w:rPr>
                    <w:t>Pos</w:t>
                  </w:r>
                  <w:proofErr w:type="spellEnd"/>
                </w:p>
              </w:tc>
              <w:tc>
                <w:tcPr>
                  <w:tcW w:w="708" w:type="dxa"/>
                  <w:tcBorders>
                    <w:top w:val="nil"/>
                    <w:left w:val="nil"/>
                    <w:bottom w:val="single" w:sz="4" w:space="0" w:color="auto"/>
                    <w:right w:val="single" w:sz="4" w:space="0" w:color="auto"/>
                  </w:tcBorders>
                  <w:shd w:val="clear" w:color="000000" w:fill="FFFF00"/>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NEG</w:t>
                  </w:r>
                </w:p>
              </w:tc>
              <w:tc>
                <w:tcPr>
                  <w:tcW w:w="709" w:type="dxa"/>
                  <w:tcBorders>
                    <w:top w:val="single" w:sz="4" w:space="0" w:color="auto"/>
                    <w:left w:val="nil"/>
                    <w:bottom w:val="single" w:sz="4" w:space="0" w:color="auto"/>
                    <w:right w:val="single" w:sz="8" w:space="0" w:color="auto"/>
                  </w:tcBorders>
                  <w:shd w:val="clear" w:color="000000" w:fill="B7DEE8"/>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Total</w:t>
                  </w:r>
                </w:p>
              </w:tc>
            </w:tr>
            <w:tr w:rsidR="0012333A" w:rsidRPr="0012333A" w:rsidTr="0040574B">
              <w:trPr>
                <w:trHeight w:val="300"/>
              </w:trPr>
              <w:tc>
                <w:tcPr>
                  <w:tcW w:w="846" w:type="dxa"/>
                  <w:tcBorders>
                    <w:top w:val="nil"/>
                    <w:left w:val="single" w:sz="8" w:space="0" w:color="auto"/>
                    <w:bottom w:val="single" w:sz="4" w:space="0" w:color="auto"/>
                    <w:right w:val="single" w:sz="4" w:space="0" w:color="auto"/>
                  </w:tcBorders>
                  <w:shd w:val="clear" w:color="000000" w:fill="B7DEE8"/>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POS</w:t>
                  </w:r>
                </w:p>
              </w:tc>
              <w:tc>
                <w:tcPr>
                  <w:tcW w:w="822"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9</w:t>
                  </w: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6</w:t>
                  </w:r>
                </w:p>
              </w:tc>
              <w:tc>
                <w:tcPr>
                  <w:tcW w:w="709" w:type="dxa"/>
                  <w:tcBorders>
                    <w:top w:val="nil"/>
                    <w:left w:val="single" w:sz="4" w:space="0" w:color="auto"/>
                    <w:bottom w:val="single" w:sz="4" w:space="0" w:color="auto"/>
                    <w:right w:val="single" w:sz="8" w:space="0" w:color="auto"/>
                  </w:tcBorders>
                  <w:shd w:val="clear" w:color="000000" w:fill="B7DEE8"/>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15</w:t>
                  </w:r>
                </w:p>
              </w:tc>
            </w:tr>
            <w:tr w:rsidR="0012333A" w:rsidRPr="0012333A" w:rsidTr="0040574B">
              <w:trPr>
                <w:trHeight w:val="300"/>
              </w:trPr>
              <w:tc>
                <w:tcPr>
                  <w:tcW w:w="846" w:type="dxa"/>
                  <w:tcBorders>
                    <w:top w:val="nil"/>
                    <w:left w:val="single" w:sz="8" w:space="0" w:color="auto"/>
                    <w:bottom w:val="nil"/>
                    <w:right w:val="single" w:sz="4" w:space="0" w:color="auto"/>
                  </w:tcBorders>
                  <w:shd w:val="clear" w:color="000000" w:fill="B7DEE8"/>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NEG</w:t>
                  </w:r>
                </w:p>
              </w:tc>
              <w:tc>
                <w:tcPr>
                  <w:tcW w:w="822"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0</w:t>
                  </w: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105</w:t>
                  </w:r>
                </w:p>
              </w:tc>
              <w:tc>
                <w:tcPr>
                  <w:tcW w:w="709" w:type="dxa"/>
                  <w:tcBorders>
                    <w:top w:val="nil"/>
                    <w:left w:val="single" w:sz="4" w:space="0" w:color="auto"/>
                    <w:bottom w:val="nil"/>
                    <w:right w:val="single" w:sz="8" w:space="0" w:color="auto"/>
                  </w:tcBorders>
                  <w:shd w:val="clear" w:color="000000" w:fill="B7DEE8"/>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105</w:t>
                  </w:r>
                </w:p>
              </w:tc>
            </w:tr>
            <w:tr w:rsidR="0012333A" w:rsidRPr="0012333A" w:rsidTr="0012333A">
              <w:trPr>
                <w:trHeight w:val="300"/>
              </w:trPr>
              <w:tc>
                <w:tcPr>
                  <w:tcW w:w="2376" w:type="dxa"/>
                  <w:gridSpan w:val="3"/>
                  <w:tcBorders>
                    <w:top w:val="single" w:sz="4" w:space="0" w:color="auto"/>
                    <w:left w:val="single" w:sz="8" w:space="0" w:color="auto"/>
                    <w:bottom w:val="single" w:sz="4" w:space="0" w:color="auto"/>
                    <w:right w:val="nil"/>
                  </w:tcBorders>
                  <w:shd w:val="clear" w:color="000000" w:fill="B7DEE8"/>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Total test run in duplicate</w:t>
                  </w:r>
                </w:p>
              </w:tc>
              <w:tc>
                <w:tcPr>
                  <w:tcW w:w="709" w:type="dxa"/>
                  <w:tcBorders>
                    <w:top w:val="single" w:sz="4" w:space="0" w:color="auto"/>
                    <w:left w:val="nil"/>
                    <w:bottom w:val="single" w:sz="4" w:space="0" w:color="auto"/>
                    <w:right w:val="single" w:sz="8" w:space="0" w:color="auto"/>
                  </w:tcBorders>
                  <w:shd w:val="clear" w:color="000000" w:fill="B7DEE8"/>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120</w:t>
                  </w:r>
                </w:p>
              </w:tc>
            </w:tr>
            <w:tr w:rsidR="0012333A" w:rsidRPr="0012333A" w:rsidTr="0040574B">
              <w:trPr>
                <w:trHeight w:val="300"/>
              </w:trPr>
              <w:tc>
                <w:tcPr>
                  <w:tcW w:w="846" w:type="dxa"/>
                  <w:tcBorders>
                    <w:top w:val="nil"/>
                    <w:left w:val="single" w:sz="8" w:space="0" w:color="auto"/>
                    <w:bottom w:val="nil"/>
                    <w:right w:val="nil"/>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c>
                <w:tcPr>
                  <w:tcW w:w="822"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r w:rsidR="0012333A" w:rsidRPr="0012333A" w:rsidTr="0040574B">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xml:space="preserve">PPV %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60.00</w:t>
                  </w: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r w:rsidR="0012333A" w:rsidRPr="0012333A" w:rsidTr="0040574B">
              <w:trPr>
                <w:trHeight w:val="300"/>
              </w:trPr>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xml:space="preserve">NPV % </w:t>
                  </w:r>
                </w:p>
              </w:tc>
              <w:tc>
                <w:tcPr>
                  <w:tcW w:w="822" w:type="dxa"/>
                  <w:tcBorders>
                    <w:top w:val="nil"/>
                    <w:left w:val="nil"/>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100.00</w:t>
                  </w: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r w:rsidR="0012333A" w:rsidRPr="0012333A" w:rsidTr="0040574B">
              <w:trPr>
                <w:trHeight w:val="300"/>
              </w:trPr>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Sensitivity %</w:t>
                  </w:r>
                </w:p>
              </w:tc>
              <w:tc>
                <w:tcPr>
                  <w:tcW w:w="822" w:type="dxa"/>
                  <w:tcBorders>
                    <w:top w:val="nil"/>
                    <w:left w:val="nil"/>
                    <w:bottom w:val="single" w:sz="4" w:space="0" w:color="auto"/>
                    <w:right w:val="single" w:sz="4" w:space="0" w:color="auto"/>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100.00</w:t>
                  </w:r>
                </w:p>
              </w:tc>
              <w:tc>
                <w:tcPr>
                  <w:tcW w:w="708" w:type="dxa"/>
                  <w:tcBorders>
                    <w:top w:val="nil"/>
                    <w:left w:val="nil"/>
                    <w:bottom w:val="nil"/>
                    <w:right w:val="nil"/>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r w:rsidR="0012333A" w:rsidRPr="0012333A" w:rsidTr="0040574B">
              <w:trPr>
                <w:trHeight w:val="315"/>
              </w:trPr>
              <w:tc>
                <w:tcPr>
                  <w:tcW w:w="846" w:type="dxa"/>
                  <w:tcBorders>
                    <w:top w:val="nil"/>
                    <w:left w:val="single" w:sz="8" w:space="0" w:color="auto"/>
                    <w:bottom w:val="single" w:sz="8" w:space="0" w:color="auto"/>
                    <w:right w:val="single" w:sz="4"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Specificity %</w:t>
                  </w:r>
                </w:p>
              </w:tc>
              <w:tc>
                <w:tcPr>
                  <w:tcW w:w="822" w:type="dxa"/>
                  <w:tcBorders>
                    <w:top w:val="nil"/>
                    <w:left w:val="nil"/>
                    <w:bottom w:val="single" w:sz="8" w:space="0" w:color="auto"/>
                    <w:right w:val="single" w:sz="4" w:space="0" w:color="auto"/>
                  </w:tcBorders>
                  <w:shd w:val="clear" w:color="auto" w:fill="auto"/>
                  <w:noWrap/>
                  <w:vAlign w:val="bottom"/>
                  <w:hideMark/>
                </w:tcPr>
                <w:p w:rsidR="0012333A" w:rsidRPr="0012333A" w:rsidRDefault="0012333A" w:rsidP="0012333A">
                  <w:pPr>
                    <w:spacing w:after="0" w:line="240" w:lineRule="auto"/>
                    <w:jc w:val="right"/>
                    <w:rPr>
                      <w:rFonts w:ascii="Calibri" w:eastAsia="Times New Roman" w:hAnsi="Calibri" w:cs="Calibri"/>
                      <w:color w:val="000000"/>
                      <w:lang w:eastAsia="en-GB"/>
                    </w:rPr>
                  </w:pPr>
                  <w:r w:rsidRPr="0012333A">
                    <w:rPr>
                      <w:rFonts w:ascii="Calibri" w:eastAsia="Times New Roman" w:hAnsi="Calibri" w:cs="Calibri"/>
                      <w:color w:val="000000"/>
                      <w:lang w:eastAsia="en-GB"/>
                    </w:rPr>
                    <w:t>94.59</w:t>
                  </w:r>
                </w:p>
              </w:tc>
              <w:tc>
                <w:tcPr>
                  <w:tcW w:w="708" w:type="dxa"/>
                  <w:tcBorders>
                    <w:top w:val="nil"/>
                    <w:left w:val="nil"/>
                    <w:bottom w:val="single" w:sz="8" w:space="0" w:color="auto"/>
                    <w:right w:val="nil"/>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c>
                <w:tcPr>
                  <w:tcW w:w="709" w:type="dxa"/>
                  <w:tcBorders>
                    <w:top w:val="nil"/>
                    <w:left w:val="nil"/>
                    <w:bottom w:val="single" w:sz="8" w:space="0" w:color="auto"/>
                    <w:right w:val="single" w:sz="8" w:space="0" w:color="auto"/>
                  </w:tcBorders>
                  <w:shd w:val="clear" w:color="auto" w:fill="auto"/>
                  <w:noWrap/>
                  <w:vAlign w:val="bottom"/>
                  <w:hideMark/>
                </w:tcPr>
                <w:p w:rsidR="0012333A" w:rsidRPr="0012333A" w:rsidRDefault="0012333A" w:rsidP="0012333A">
                  <w:pPr>
                    <w:spacing w:after="0" w:line="240" w:lineRule="auto"/>
                    <w:rPr>
                      <w:rFonts w:ascii="Calibri" w:eastAsia="Times New Roman" w:hAnsi="Calibri" w:cs="Calibri"/>
                      <w:color w:val="000000"/>
                      <w:lang w:eastAsia="en-GB"/>
                    </w:rPr>
                  </w:pPr>
                  <w:r w:rsidRPr="0012333A">
                    <w:rPr>
                      <w:rFonts w:ascii="Calibri" w:eastAsia="Times New Roman" w:hAnsi="Calibri" w:cs="Calibri"/>
                      <w:color w:val="000000"/>
                      <w:lang w:eastAsia="en-GB"/>
                    </w:rPr>
                    <w:t> </w:t>
                  </w:r>
                </w:p>
              </w:tc>
            </w:tr>
          </w:tbl>
          <w:p w:rsidR="0012333A" w:rsidRDefault="0012333A" w:rsidP="00FA5671">
            <w:pPr>
              <w:rPr>
                <w:rFonts w:ascii="Arial" w:hAnsi="Arial" w:cs="Arial"/>
                <w:sz w:val="20"/>
                <w:szCs w:val="20"/>
              </w:rPr>
            </w:pPr>
          </w:p>
        </w:tc>
        <w:tc>
          <w:tcPr>
            <w:tcW w:w="2144" w:type="dxa"/>
          </w:tcPr>
          <w:p w:rsidR="001061B9" w:rsidRPr="00DB196B" w:rsidRDefault="001061B9" w:rsidP="001061B9">
            <w:pPr>
              <w:rPr>
                <w:rFonts w:ascii="Arial" w:hAnsi="Arial" w:cs="Arial"/>
                <w:sz w:val="20"/>
                <w:szCs w:val="20"/>
              </w:rPr>
            </w:pPr>
            <w:r>
              <w:rPr>
                <w:rFonts w:ascii="Arial" w:hAnsi="Arial" w:cs="Arial"/>
                <w:sz w:val="20"/>
                <w:szCs w:val="20"/>
              </w:rPr>
              <w:t>N</w:t>
            </w:r>
            <w:r w:rsidRPr="00DB196B">
              <w:rPr>
                <w:rFonts w:ascii="Arial" w:hAnsi="Arial" w:cs="Arial"/>
                <w:sz w:val="20"/>
                <w:szCs w:val="20"/>
              </w:rPr>
              <w:t xml:space="preserve">. </w:t>
            </w:r>
            <w:r>
              <w:rPr>
                <w:rFonts w:ascii="Arial" w:hAnsi="Arial" w:cs="Arial"/>
                <w:sz w:val="20"/>
                <w:szCs w:val="20"/>
              </w:rPr>
              <w:t>Hodges</w:t>
            </w:r>
          </w:p>
          <w:p w:rsidR="001061B9" w:rsidRPr="00DB196B" w:rsidRDefault="001061B9" w:rsidP="001061B9">
            <w:pPr>
              <w:rPr>
                <w:rFonts w:ascii="Arial" w:hAnsi="Arial" w:cs="Arial"/>
                <w:sz w:val="20"/>
                <w:szCs w:val="20"/>
              </w:rPr>
            </w:pPr>
          </w:p>
          <w:p w:rsidR="001061B9" w:rsidRPr="00DB196B" w:rsidRDefault="001061B9" w:rsidP="001061B9">
            <w:pPr>
              <w:rPr>
                <w:rFonts w:ascii="Arial" w:hAnsi="Arial" w:cs="Arial"/>
                <w:sz w:val="20"/>
                <w:szCs w:val="20"/>
              </w:rPr>
            </w:pPr>
          </w:p>
          <w:p w:rsidR="001061B9" w:rsidRPr="00DB196B" w:rsidRDefault="001061B9" w:rsidP="001061B9">
            <w:pPr>
              <w:rPr>
                <w:rFonts w:ascii="Arial" w:hAnsi="Arial" w:cs="Arial"/>
                <w:sz w:val="20"/>
                <w:szCs w:val="20"/>
              </w:rPr>
            </w:pPr>
          </w:p>
          <w:p w:rsidR="00FA5671" w:rsidRPr="00DB196B" w:rsidRDefault="001061B9" w:rsidP="001061B9">
            <w:pPr>
              <w:rPr>
                <w:rFonts w:ascii="Arial" w:hAnsi="Arial" w:cs="Arial"/>
                <w:sz w:val="20"/>
                <w:szCs w:val="20"/>
              </w:rPr>
            </w:pPr>
            <w:r>
              <w:rPr>
                <w:rFonts w:ascii="Arial" w:hAnsi="Arial" w:cs="Arial"/>
                <w:sz w:val="20"/>
                <w:szCs w:val="20"/>
              </w:rPr>
              <w:t>C</w:t>
            </w:r>
            <w:r w:rsidRPr="00DB196B">
              <w:rPr>
                <w:rFonts w:ascii="Arial" w:hAnsi="Arial" w:cs="Arial"/>
                <w:sz w:val="20"/>
                <w:szCs w:val="20"/>
              </w:rPr>
              <w:t xml:space="preserve">ompleted </w:t>
            </w:r>
            <w:r>
              <w:rPr>
                <w:rFonts w:ascii="Arial" w:hAnsi="Arial" w:cs="Arial"/>
                <w:sz w:val="20"/>
                <w:szCs w:val="20"/>
              </w:rPr>
              <w:t>August 2021</w:t>
            </w:r>
          </w:p>
        </w:tc>
        <w:tc>
          <w:tcPr>
            <w:tcW w:w="458" w:type="dxa"/>
            <w:shd w:val="clear" w:color="auto" w:fill="auto"/>
          </w:tcPr>
          <w:p w:rsidR="00FA5671" w:rsidRDefault="00F03F69" w:rsidP="00FA5671">
            <w:pPr>
              <w:rPr>
                <w:rFonts w:ascii="Arial" w:hAnsi="Arial" w:cs="Arial"/>
                <w:sz w:val="20"/>
                <w:szCs w:val="20"/>
              </w:rPr>
            </w:pPr>
            <w:r>
              <w:rPr>
                <w:rFonts w:ascii="Arial" w:hAnsi="Arial" w:cs="Arial"/>
                <w:sz w:val="20"/>
                <w:szCs w:val="20"/>
              </w:rPr>
              <w:t>2</w:t>
            </w:r>
          </w:p>
        </w:tc>
        <w:tc>
          <w:tcPr>
            <w:tcW w:w="458" w:type="dxa"/>
            <w:shd w:val="clear" w:color="auto" w:fill="auto"/>
          </w:tcPr>
          <w:p w:rsidR="00FA5671" w:rsidRDefault="001061B9" w:rsidP="00FA5671">
            <w:pPr>
              <w:rPr>
                <w:rFonts w:ascii="Arial" w:hAnsi="Arial" w:cs="Arial"/>
                <w:sz w:val="20"/>
                <w:szCs w:val="20"/>
              </w:rPr>
            </w:pPr>
            <w:r>
              <w:rPr>
                <w:rFonts w:ascii="Arial" w:hAnsi="Arial" w:cs="Arial"/>
                <w:sz w:val="20"/>
                <w:szCs w:val="20"/>
              </w:rPr>
              <w:t>2</w:t>
            </w:r>
          </w:p>
        </w:tc>
        <w:tc>
          <w:tcPr>
            <w:tcW w:w="579" w:type="dxa"/>
            <w:shd w:val="clear" w:color="auto" w:fill="auto"/>
          </w:tcPr>
          <w:p w:rsidR="00FA5671" w:rsidRDefault="001061B9" w:rsidP="00FA5671">
            <w:pPr>
              <w:rPr>
                <w:rFonts w:ascii="Arial" w:hAnsi="Arial" w:cs="Arial"/>
                <w:sz w:val="20"/>
                <w:szCs w:val="20"/>
              </w:rPr>
            </w:pPr>
            <w:r>
              <w:rPr>
                <w:rFonts w:ascii="Arial" w:hAnsi="Arial" w:cs="Arial"/>
                <w:sz w:val="20"/>
                <w:szCs w:val="20"/>
              </w:rPr>
              <w:t>4</w:t>
            </w: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w:t>
            </w:r>
            <w:proofErr w:type="spellStart"/>
            <w:r w:rsidRPr="00E15821">
              <w:rPr>
                <w:rFonts w:ascii="Arial" w:eastAsia="Times New Roman" w:hAnsi="Arial" w:cs="Arial"/>
                <w:b/>
                <w:sz w:val="16"/>
                <w:szCs w:val="16"/>
                <w:lang w:val="en-US"/>
              </w:rPr>
              <w:t>organisational</w:t>
            </w:r>
            <w:proofErr w:type="spellEnd"/>
            <w:r w:rsidRPr="00E15821">
              <w:rPr>
                <w:rFonts w:ascii="Arial" w:eastAsia="Times New Roman" w:hAnsi="Arial" w:cs="Arial"/>
                <w:b/>
                <w:sz w:val="16"/>
                <w:szCs w:val="16"/>
                <w:lang w:val="en-US"/>
              </w:rPr>
              <w:t xml:space="preserve">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roofErr w:type="spellStart"/>
            <w:r w:rsidRPr="00E15821">
              <w:rPr>
                <w:rFonts w:ascii="Arial" w:eastAsia="Times New Roman" w:hAnsi="Arial" w:cs="Arial"/>
                <w:sz w:val="16"/>
                <w:szCs w:val="16"/>
                <w:lang w:val="en-US"/>
              </w:rPr>
              <w:t>Rumours</w:t>
            </w:r>
            <w:proofErr w:type="spellEnd"/>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63" w:rsidRDefault="004E5663" w:rsidP="00FC4C1F">
      <w:pPr>
        <w:spacing w:after="0" w:line="240" w:lineRule="auto"/>
      </w:pPr>
      <w:r>
        <w:separator/>
      </w:r>
    </w:p>
  </w:endnote>
  <w:endnote w:type="continuationSeparator" w:id="0">
    <w:p w:rsidR="004E5663" w:rsidRDefault="004E5663"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197D59" w:rsidP="00DB196B">
          <w:pPr>
            <w:pStyle w:val="Footer"/>
            <w:rPr>
              <w:rFonts w:ascii="Arial" w:hAnsi="Arial" w:cs="Arial"/>
              <w:sz w:val="20"/>
            </w:rPr>
          </w:pPr>
          <w:r w:rsidRPr="00E95D5F">
            <w:rPr>
              <w:rFonts w:ascii="Arial" w:hAnsi="Arial" w:cs="Arial"/>
              <w:sz w:val="20"/>
            </w:rPr>
            <w:t xml:space="preserve">Author: </w:t>
          </w:r>
          <w:r w:rsidR="00DB196B">
            <w:rPr>
              <w:rFonts w:ascii="Arial" w:hAnsi="Arial" w:cs="Arial"/>
              <w:sz w:val="20"/>
            </w:rPr>
            <w:t>Nicola Hodges</w:t>
          </w:r>
          <w:r w:rsidRPr="00E95D5F">
            <w:rPr>
              <w:rFonts w:ascii="Arial" w:hAnsi="Arial" w:cs="Arial"/>
              <w:sz w:val="20"/>
            </w:rPr>
            <w:t xml:space="preserve">                                                                 </w:t>
          </w:r>
        </w:p>
      </w:tc>
      <w:tc>
        <w:tcPr>
          <w:tcW w:w="3678" w:type="dxa"/>
        </w:tcPr>
        <w:p w:rsidR="00197D59" w:rsidRPr="00E95D5F" w:rsidRDefault="00DB196B" w:rsidP="00197D59">
          <w:pPr>
            <w:pStyle w:val="Footer"/>
            <w:ind w:firstLine="36"/>
            <w:rPr>
              <w:rFonts w:ascii="Arial" w:hAnsi="Arial" w:cs="Arial"/>
              <w:sz w:val="20"/>
            </w:rPr>
          </w:pPr>
          <w:r>
            <w:rPr>
              <w:rFonts w:ascii="Arial" w:hAnsi="Arial" w:cs="Arial"/>
              <w:sz w:val="20"/>
            </w:rPr>
            <w:t>Edition No: 1</w:t>
          </w:r>
        </w:p>
      </w:tc>
    </w:tr>
    <w:tr w:rsidR="00197D59" w:rsidRPr="00E95D5F" w:rsidTr="00197D59">
      <w:trPr>
        <w:trHeight w:val="250"/>
        <w:jc w:val="center"/>
      </w:trPr>
      <w:tc>
        <w:tcPr>
          <w:tcW w:w="5098" w:type="dxa"/>
        </w:tcPr>
        <w:p w:rsidR="00197D59" w:rsidRPr="00E95D5F" w:rsidRDefault="00197D59" w:rsidP="00037D63">
          <w:pPr>
            <w:pStyle w:val="Footer"/>
            <w:ind w:right="-254"/>
            <w:rPr>
              <w:rFonts w:ascii="Arial" w:hAnsi="Arial" w:cs="Arial"/>
              <w:sz w:val="20"/>
            </w:rPr>
          </w:pPr>
          <w:r w:rsidRPr="00E95D5F">
            <w:rPr>
              <w:rFonts w:ascii="Arial" w:hAnsi="Arial" w:cs="Arial"/>
              <w:sz w:val="20"/>
            </w:rPr>
            <w:t xml:space="preserve">Approved by: </w:t>
          </w:r>
          <w:r w:rsidR="008F07A3">
            <w:rPr>
              <w:rFonts w:ascii="Arial" w:hAnsi="Arial" w:cs="Arial"/>
              <w:sz w:val="20"/>
            </w:rPr>
            <w:t>Dr J. Vasant</w:t>
          </w:r>
          <w:r w:rsidR="00037D63">
            <w:rPr>
              <w:rFonts w:ascii="Arial" w:hAnsi="Arial" w:cs="Arial"/>
              <w:sz w:val="20"/>
            </w:rPr>
            <w:t xml:space="preserve"> &amp; K. Day</w:t>
          </w:r>
          <w:r w:rsidRPr="00E95D5F">
            <w:rPr>
              <w:rFonts w:ascii="Arial" w:hAnsi="Arial" w:cs="Arial"/>
              <w:sz w:val="20"/>
            </w:rPr>
            <w:tab/>
            <w:t xml:space="preserve">                                                  </w:t>
          </w:r>
        </w:p>
      </w:tc>
      <w:tc>
        <w:tcPr>
          <w:tcW w:w="3678" w:type="dxa"/>
        </w:tcPr>
        <w:p w:rsidR="00197D59" w:rsidRPr="00E95D5F" w:rsidRDefault="00197D59" w:rsidP="008F07A3">
          <w:pPr>
            <w:pStyle w:val="Footer"/>
            <w:ind w:firstLine="36"/>
            <w:rPr>
              <w:rFonts w:ascii="Arial" w:hAnsi="Arial" w:cs="Arial"/>
              <w:sz w:val="20"/>
            </w:rPr>
          </w:pPr>
          <w:r w:rsidRPr="00E95D5F">
            <w:rPr>
              <w:rFonts w:ascii="Arial" w:hAnsi="Arial" w:cs="Arial"/>
              <w:sz w:val="20"/>
            </w:rPr>
            <w:t>Active Date: [</w:t>
          </w:r>
          <w:r w:rsidR="008F07A3">
            <w:rPr>
              <w:rFonts w:ascii="Arial" w:hAnsi="Arial" w:cs="Arial"/>
              <w:sz w:val="20"/>
            </w:rPr>
            <w:t>27/04/2021</w:t>
          </w:r>
          <w:r w:rsidRPr="00E95D5F">
            <w:rPr>
              <w:rFonts w:ascii="Arial" w:hAnsi="Arial" w:cs="Arial"/>
              <w:sz w:val="20"/>
            </w:rPr>
            <w:t>]</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A62411">
            <w:rPr>
              <w:rFonts w:ascii="Arial" w:hAnsi="Arial" w:cs="Arial"/>
              <w:b/>
              <w:bCs/>
              <w:noProof/>
              <w:sz w:val="20"/>
            </w:rPr>
            <w:t>8</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A62411">
            <w:rPr>
              <w:rFonts w:ascii="Arial" w:hAnsi="Arial" w:cs="Arial"/>
              <w:b/>
              <w:bCs/>
              <w:noProof/>
              <w:sz w:val="20"/>
            </w:rPr>
            <w:t>8</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63" w:rsidRDefault="004E5663" w:rsidP="00FC4C1F">
      <w:pPr>
        <w:spacing w:after="0" w:line="240" w:lineRule="auto"/>
      </w:pPr>
      <w:r>
        <w:separator/>
      </w:r>
    </w:p>
  </w:footnote>
  <w:footnote w:type="continuationSeparator" w:id="0">
    <w:p w:rsidR="004E5663" w:rsidRDefault="004E5663"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171C3C">
      <w:rPr>
        <w:rFonts w:ascii="Arial" w:hAnsi="Arial" w:cs="Arial"/>
      </w:rPr>
      <w:t>[RA/POCT</w:t>
    </w:r>
    <w:r w:rsidR="00E95D5F" w:rsidRPr="004A37DE">
      <w:rPr>
        <w:rFonts w:ascii="Arial" w:hAnsi="Arial" w:cs="Arial"/>
      </w:rPr>
      <w:t>/</w:t>
    </w:r>
    <w:r w:rsidR="00171C3C">
      <w:rPr>
        <w:rFonts w:ascii="Arial" w:hAnsi="Arial" w:cs="Arial"/>
      </w:rPr>
      <w:t>17</w:t>
    </w:r>
    <w:r w:rsidRPr="004A37DE">
      <w:rPr>
        <w:rFonts w:ascii="Arial" w:hAnsi="Arial" w:cs="Arial"/>
      </w:rPr>
      <w:t>]</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58"/>
    </w:tblGrid>
    <w:tr w:rsidR="00DB196B" w:rsidRPr="00E95D5F" w:rsidTr="006E2723">
      <w:tc>
        <w:tcPr>
          <w:tcW w:w="14174" w:type="dxa"/>
        </w:tcPr>
        <w:p w:rsidR="00DB196B" w:rsidRPr="00E95D5F" w:rsidRDefault="00DB196B" w:rsidP="00123098">
          <w:pPr>
            <w:pStyle w:val="Header"/>
            <w:rPr>
              <w:sz w:val="18"/>
              <w:szCs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Pr>
              <w:rFonts w:ascii="Arial" w:hAnsi="Arial" w:cs="Arial"/>
              <w:szCs w:val="28"/>
            </w:rPr>
            <w:t>Use of the Abbott ID Now rapid COVID testing analyser on the wards</w:t>
          </w: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37D63"/>
    <w:rsid w:val="00070909"/>
    <w:rsid w:val="000E6548"/>
    <w:rsid w:val="00101337"/>
    <w:rsid w:val="001061B9"/>
    <w:rsid w:val="00123098"/>
    <w:rsid w:val="0012333A"/>
    <w:rsid w:val="00171C3C"/>
    <w:rsid w:val="00176E7E"/>
    <w:rsid w:val="00182367"/>
    <w:rsid w:val="00197D59"/>
    <w:rsid w:val="002102E1"/>
    <w:rsid w:val="00283DF1"/>
    <w:rsid w:val="002E2A28"/>
    <w:rsid w:val="002F2CF9"/>
    <w:rsid w:val="00326A78"/>
    <w:rsid w:val="003320FB"/>
    <w:rsid w:val="0036344A"/>
    <w:rsid w:val="003D5E2F"/>
    <w:rsid w:val="00402E75"/>
    <w:rsid w:val="0040574B"/>
    <w:rsid w:val="0049049E"/>
    <w:rsid w:val="004A37DE"/>
    <w:rsid w:val="004E0EE7"/>
    <w:rsid w:val="004E5663"/>
    <w:rsid w:val="00621789"/>
    <w:rsid w:val="006312FE"/>
    <w:rsid w:val="00692653"/>
    <w:rsid w:val="006C7014"/>
    <w:rsid w:val="007D2848"/>
    <w:rsid w:val="00801F96"/>
    <w:rsid w:val="008C769C"/>
    <w:rsid w:val="008D3DB4"/>
    <w:rsid w:val="008F07A3"/>
    <w:rsid w:val="0092086C"/>
    <w:rsid w:val="009918A3"/>
    <w:rsid w:val="00A02D21"/>
    <w:rsid w:val="00A62411"/>
    <w:rsid w:val="00A83620"/>
    <w:rsid w:val="00B13718"/>
    <w:rsid w:val="00BE1BDA"/>
    <w:rsid w:val="00CA1236"/>
    <w:rsid w:val="00CB12D1"/>
    <w:rsid w:val="00CD3CBE"/>
    <w:rsid w:val="00D358AE"/>
    <w:rsid w:val="00DB196B"/>
    <w:rsid w:val="00DD0D63"/>
    <w:rsid w:val="00DD6BE9"/>
    <w:rsid w:val="00E15821"/>
    <w:rsid w:val="00E71A3D"/>
    <w:rsid w:val="00E75298"/>
    <w:rsid w:val="00E855F9"/>
    <w:rsid w:val="00E95D5F"/>
    <w:rsid w:val="00EE0E3C"/>
    <w:rsid w:val="00EE423E"/>
    <w:rsid w:val="00F03F69"/>
    <w:rsid w:val="00F742A6"/>
    <w:rsid w:val="00F84F96"/>
    <w:rsid w:val="00FA5671"/>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F6D87D15-094A-444D-B97B-381B3F24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6FA7-6694-45B8-AF97-DE15A76D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2</cp:revision>
  <cp:lastPrinted>2021-09-27T10:01:00Z</cp:lastPrinted>
  <dcterms:created xsi:type="dcterms:W3CDTF">2021-09-27T09:59:00Z</dcterms:created>
  <dcterms:modified xsi:type="dcterms:W3CDTF">2021-09-27T09:59:00Z</dcterms:modified>
</cp:coreProperties>
</file>