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92"/>
        <w:gridCol w:w="6956"/>
      </w:tblGrid>
      <w:tr w:rsidR="00A83620" w:rsidRPr="00123098" w:rsidTr="004E0EE7">
        <w:tc>
          <w:tcPr>
            <w:tcW w:w="6992" w:type="dxa"/>
          </w:tcPr>
          <w:p w:rsidR="00A83620" w:rsidRPr="00123098" w:rsidRDefault="00123098" w:rsidP="00A658E3">
            <w:pPr>
              <w:rPr>
                <w:rFonts w:ascii="Arial" w:hAnsi="Arial" w:cs="Arial"/>
                <w:sz w:val="20"/>
                <w:szCs w:val="20"/>
              </w:rPr>
            </w:pPr>
            <w:r>
              <w:rPr>
                <w:rFonts w:ascii="Arial" w:hAnsi="Arial" w:cs="Arial"/>
                <w:sz w:val="20"/>
                <w:szCs w:val="20"/>
              </w:rPr>
              <w:t>Department/Location/</w:t>
            </w:r>
            <w:r w:rsidR="007D2848" w:rsidRPr="00123098">
              <w:rPr>
                <w:rFonts w:ascii="Arial" w:hAnsi="Arial" w:cs="Arial"/>
                <w:sz w:val="20"/>
                <w:szCs w:val="20"/>
              </w:rPr>
              <w:t>Project:</w:t>
            </w:r>
            <w:r w:rsidR="007624D4">
              <w:rPr>
                <w:rFonts w:ascii="Arial" w:hAnsi="Arial" w:cs="Arial"/>
                <w:sz w:val="20"/>
                <w:szCs w:val="20"/>
              </w:rPr>
              <w:t xml:space="preserve"> </w:t>
            </w:r>
            <w:r w:rsidR="00A658E3">
              <w:rPr>
                <w:rFonts w:ascii="Arial" w:hAnsi="Arial" w:cs="Arial"/>
                <w:sz w:val="20"/>
                <w:szCs w:val="20"/>
              </w:rPr>
              <w:t>Day assessment unit (DAU)</w:t>
            </w:r>
          </w:p>
        </w:tc>
        <w:tc>
          <w:tcPr>
            <w:tcW w:w="6956" w:type="dxa"/>
          </w:tcPr>
          <w:p w:rsidR="00A83620" w:rsidRPr="00123098" w:rsidRDefault="00E95D5F" w:rsidP="007624D4">
            <w:pPr>
              <w:rPr>
                <w:rFonts w:ascii="Arial" w:hAnsi="Arial" w:cs="Arial"/>
                <w:sz w:val="20"/>
                <w:szCs w:val="20"/>
              </w:rPr>
            </w:pPr>
            <w:r>
              <w:rPr>
                <w:rFonts w:ascii="Arial" w:hAnsi="Arial" w:cs="Arial"/>
                <w:sz w:val="20"/>
                <w:szCs w:val="20"/>
              </w:rPr>
              <w:t>SOP Document Reference Number:</w:t>
            </w:r>
            <w:r w:rsidR="00176E7E" w:rsidRPr="00123098">
              <w:rPr>
                <w:rFonts w:ascii="Arial" w:hAnsi="Arial" w:cs="Arial"/>
                <w:sz w:val="20"/>
                <w:szCs w:val="20"/>
              </w:rPr>
              <w:t xml:space="preserve"> </w:t>
            </w:r>
            <w:r w:rsidR="00A658E3">
              <w:rPr>
                <w:rFonts w:ascii="Arial" w:hAnsi="Arial" w:cs="Arial"/>
                <w:b/>
                <w:sz w:val="20"/>
                <w:szCs w:val="20"/>
              </w:rPr>
              <w:t>SOP/POCT/</w:t>
            </w:r>
            <w:r w:rsidR="003928ED">
              <w:rPr>
                <w:rFonts w:ascii="Arial" w:hAnsi="Arial" w:cs="Arial"/>
                <w:b/>
                <w:sz w:val="20"/>
                <w:szCs w:val="20"/>
              </w:rPr>
              <w:t>59</w:t>
            </w:r>
          </w:p>
        </w:tc>
      </w:tr>
      <w:tr w:rsidR="00A83620" w:rsidRPr="00123098" w:rsidTr="004E0EE7">
        <w:tc>
          <w:tcPr>
            <w:tcW w:w="6992" w:type="dxa"/>
          </w:tcPr>
          <w:p w:rsidR="00A83620" w:rsidRPr="00123098" w:rsidRDefault="00197D59" w:rsidP="00692653">
            <w:pPr>
              <w:rPr>
                <w:rFonts w:ascii="Arial" w:hAnsi="Arial" w:cs="Arial"/>
                <w:sz w:val="20"/>
                <w:szCs w:val="20"/>
              </w:rPr>
            </w:pPr>
            <w:r w:rsidRPr="00197D59">
              <w:rPr>
                <w:rFonts w:ascii="Arial" w:hAnsi="Arial" w:cs="Arial"/>
                <w:sz w:val="20"/>
                <w:szCs w:val="20"/>
              </w:rPr>
              <w:t>Risk Assessor(s):</w:t>
            </w:r>
            <w:r w:rsidR="007624D4">
              <w:rPr>
                <w:rFonts w:ascii="Arial" w:hAnsi="Arial" w:cs="Arial"/>
                <w:sz w:val="20"/>
                <w:szCs w:val="20"/>
              </w:rPr>
              <w:t xml:space="preserve"> N. Hodges</w:t>
            </w:r>
          </w:p>
        </w:tc>
        <w:tc>
          <w:tcPr>
            <w:tcW w:w="6956" w:type="dxa"/>
          </w:tcPr>
          <w:p w:rsidR="00A83620" w:rsidRPr="00123098" w:rsidRDefault="004E0EE7" w:rsidP="00A83620">
            <w:pPr>
              <w:rPr>
                <w:rFonts w:ascii="Arial" w:hAnsi="Arial" w:cs="Arial"/>
                <w:sz w:val="20"/>
                <w:szCs w:val="20"/>
              </w:rPr>
            </w:pPr>
            <w:r w:rsidRPr="00123098">
              <w:rPr>
                <w:rFonts w:ascii="Arial" w:hAnsi="Arial" w:cs="Arial"/>
                <w:sz w:val="20"/>
                <w:szCs w:val="20"/>
              </w:rPr>
              <w:t>Highest Risk Rating Identified</w:t>
            </w:r>
            <w:r w:rsidR="00BE1BDA">
              <w:rPr>
                <w:rFonts w:ascii="Arial" w:hAnsi="Arial" w:cs="Arial"/>
                <w:sz w:val="20"/>
                <w:szCs w:val="20"/>
              </w:rPr>
              <w:t>*</w:t>
            </w:r>
            <w:r w:rsidRPr="00123098">
              <w:rPr>
                <w:rFonts w:ascii="Arial" w:hAnsi="Arial" w:cs="Arial"/>
                <w:sz w:val="20"/>
                <w:szCs w:val="20"/>
              </w:rPr>
              <w:t>:</w:t>
            </w:r>
          </w:p>
        </w:tc>
      </w:tr>
      <w:tr w:rsidR="00A83620" w:rsidRPr="00123098" w:rsidTr="004E0EE7">
        <w:tc>
          <w:tcPr>
            <w:tcW w:w="6992" w:type="dxa"/>
          </w:tcPr>
          <w:p w:rsidR="00A83620" w:rsidRPr="00123098" w:rsidRDefault="00197D59" w:rsidP="00A658E3">
            <w:pPr>
              <w:rPr>
                <w:rFonts w:ascii="Arial" w:hAnsi="Arial" w:cs="Arial"/>
                <w:sz w:val="20"/>
                <w:szCs w:val="20"/>
              </w:rPr>
            </w:pPr>
            <w:r>
              <w:rPr>
                <w:rFonts w:ascii="Arial" w:hAnsi="Arial" w:cs="Arial"/>
                <w:sz w:val="20"/>
                <w:szCs w:val="20"/>
              </w:rPr>
              <w:t>Date of assessment</w:t>
            </w:r>
            <w:r w:rsidRPr="00123098">
              <w:rPr>
                <w:rFonts w:ascii="Arial" w:hAnsi="Arial" w:cs="Arial"/>
                <w:sz w:val="20"/>
                <w:szCs w:val="20"/>
              </w:rPr>
              <w:t>:</w:t>
            </w:r>
            <w:r w:rsidR="007624D4">
              <w:rPr>
                <w:rFonts w:ascii="Arial" w:hAnsi="Arial" w:cs="Arial"/>
                <w:sz w:val="20"/>
                <w:szCs w:val="20"/>
              </w:rPr>
              <w:t xml:space="preserve"> </w:t>
            </w:r>
            <w:r w:rsidR="00A658E3">
              <w:rPr>
                <w:rFonts w:ascii="Arial" w:hAnsi="Arial" w:cs="Arial"/>
                <w:sz w:val="20"/>
                <w:szCs w:val="20"/>
              </w:rPr>
              <w:t>19/10/2021</w:t>
            </w:r>
          </w:p>
        </w:tc>
        <w:tc>
          <w:tcPr>
            <w:tcW w:w="6956" w:type="dxa"/>
          </w:tcPr>
          <w:p w:rsidR="00A83620" w:rsidRPr="00123098" w:rsidRDefault="004E0EE7" w:rsidP="008D35D9">
            <w:pPr>
              <w:rPr>
                <w:rFonts w:ascii="Arial" w:hAnsi="Arial" w:cs="Arial"/>
                <w:sz w:val="20"/>
                <w:szCs w:val="20"/>
              </w:rPr>
            </w:pPr>
            <w:r w:rsidRPr="004E0EE7">
              <w:rPr>
                <w:rFonts w:ascii="Arial" w:hAnsi="Arial" w:cs="Arial"/>
                <w:sz w:val="20"/>
                <w:szCs w:val="20"/>
              </w:rPr>
              <w:t>Informed QM of any Risk Score &gt;9 (NA):</w:t>
            </w:r>
          </w:p>
        </w:tc>
      </w:tr>
    </w:tbl>
    <w:p w:rsidR="00E15821" w:rsidRPr="00E15821" w:rsidRDefault="00E15821" w:rsidP="00E15821">
      <w:pPr>
        <w:spacing w:after="0"/>
        <w:rPr>
          <w:rFonts w:ascii="Arial" w:hAnsi="Arial" w:cs="Arial"/>
          <w:b/>
          <w:sz w:val="24"/>
          <w:szCs w:val="24"/>
        </w:rPr>
      </w:pPr>
    </w:p>
    <w:p w:rsidR="00E15821" w:rsidRDefault="00E15821" w:rsidP="00E15821">
      <w:pPr>
        <w:spacing w:after="0"/>
        <w:rPr>
          <w:rFonts w:ascii="Arial" w:hAnsi="Arial" w:cs="Arial"/>
          <w:b/>
          <w:sz w:val="20"/>
          <w:szCs w:val="24"/>
        </w:rPr>
      </w:pPr>
      <w:r w:rsidRPr="00E15821">
        <w:rPr>
          <w:rFonts w:ascii="Arial" w:hAnsi="Arial" w:cs="Arial"/>
          <w:b/>
          <w:sz w:val="20"/>
          <w:szCs w:val="24"/>
        </w:rPr>
        <w:t xml:space="preserve">* Any identified risk which has a rating &gt;9 must be communicated </w:t>
      </w:r>
      <w:r w:rsidR="00F742A6">
        <w:rPr>
          <w:rFonts w:ascii="Arial" w:hAnsi="Arial" w:cs="Arial"/>
          <w:b/>
          <w:sz w:val="20"/>
          <w:szCs w:val="24"/>
        </w:rPr>
        <w:t>with</w:t>
      </w:r>
      <w:r w:rsidRPr="00E15821">
        <w:rPr>
          <w:rFonts w:ascii="Arial" w:hAnsi="Arial" w:cs="Arial"/>
          <w:b/>
          <w:sz w:val="20"/>
          <w:szCs w:val="24"/>
        </w:rPr>
        <w:t xml:space="preserve"> the Quality Manager</w:t>
      </w:r>
    </w:p>
    <w:p w:rsidR="00E15821" w:rsidRPr="00E15821" w:rsidRDefault="00E15821" w:rsidP="00E15821">
      <w:pPr>
        <w:spacing w:after="0"/>
        <w:rPr>
          <w:rFonts w:ascii="Arial" w:hAnsi="Arial" w:cs="Arial"/>
          <w:b/>
          <w:sz w:val="20"/>
          <w:szCs w:val="24"/>
        </w:rPr>
      </w:pPr>
    </w:p>
    <w:tbl>
      <w:tblPr>
        <w:tblStyle w:val="TableGrid"/>
        <w:tblW w:w="0" w:type="auto"/>
        <w:tblLayout w:type="fixed"/>
        <w:tblLook w:val="04A0" w:firstRow="1" w:lastRow="0" w:firstColumn="1" w:lastColumn="0" w:noHBand="0" w:noVBand="1"/>
      </w:tblPr>
      <w:tblGrid>
        <w:gridCol w:w="3031"/>
        <w:gridCol w:w="2747"/>
        <w:gridCol w:w="1428"/>
        <w:gridCol w:w="2984"/>
        <w:gridCol w:w="2268"/>
        <w:gridCol w:w="1495"/>
      </w:tblGrid>
      <w:tr w:rsidR="00283DF1" w:rsidRPr="00197D59" w:rsidTr="00E15821">
        <w:trPr>
          <w:tblHeader/>
        </w:trPr>
        <w:tc>
          <w:tcPr>
            <w:tcW w:w="3031"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Description of risk</w:t>
            </w:r>
          </w:p>
        </w:tc>
        <w:tc>
          <w:tcPr>
            <w:tcW w:w="2747"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Existing control/ safe</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System of work</w:t>
            </w:r>
          </w:p>
        </w:tc>
        <w:tc>
          <w:tcPr>
            <w:tcW w:w="1428"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Initial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8C769C">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c>
          <w:tcPr>
            <w:tcW w:w="2984"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What further action is required</w:t>
            </w:r>
          </w:p>
        </w:tc>
        <w:tc>
          <w:tcPr>
            <w:tcW w:w="2268"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Responsible person</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 and target date for completion</w:t>
            </w:r>
          </w:p>
        </w:tc>
        <w:tc>
          <w:tcPr>
            <w:tcW w:w="1495"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Final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283DF1">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r>
    </w:tbl>
    <w:tbl>
      <w:tblPr>
        <w:tblStyle w:val="TableGrid1"/>
        <w:tblW w:w="13953" w:type="dxa"/>
        <w:tblInd w:w="0" w:type="dxa"/>
        <w:tblLayout w:type="fixed"/>
        <w:tblLook w:val="04A0" w:firstRow="1" w:lastRow="0" w:firstColumn="1" w:lastColumn="0" w:noHBand="0" w:noVBand="1"/>
      </w:tblPr>
      <w:tblGrid>
        <w:gridCol w:w="3031"/>
        <w:gridCol w:w="2747"/>
        <w:gridCol w:w="439"/>
        <w:gridCol w:w="439"/>
        <w:gridCol w:w="550"/>
        <w:gridCol w:w="2984"/>
        <w:gridCol w:w="2268"/>
        <w:gridCol w:w="458"/>
        <w:gridCol w:w="458"/>
        <w:gridCol w:w="579"/>
      </w:tblGrid>
      <w:tr w:rsidR="00A658E3" w:rsidTr="00985F4F">
        <w:trPr>
          <w:trHeight w:val="1048"/>
        </w:trPr>
        <w:tc>
          <w:tcPr>
            <w:tcW w:w="3031" w:type="dxa"/>
            <w:tcBorders>
              <w:top w:val="single" w:sz="4" w:space="0" w:color="auto"/>
              <w:left w:val="single" w:sz="4" w:space="0" w:color="auto"/>
              <w:bottom w:val="single" w:sz="4" w:space="0" w:color="auto"/>
              <w:right w:val="single" w:sz="4" w:space="0" w:color="auto"/>
            </w:tcBorders>
          </w:tcPr>
          <w:p w:rsidR="00A658E3" w:rsidRDefault="00A658E3" w:rsidP="00A658E3">
            <w:pPr>
              <w:rPr>
                <w:rFonts w:ascii="Arial" w:hAnsi="Arial" w:cs="Arial"/>
                <w:sz w:val="20"/>
                <w:szCs w:val="20"/>
              </w:rPr>
            </w:pPr>
          </w:p>
          <w:p w:rsidR="00A658E3" w:rsidRDefault="00A658E3" w:rsidP="00A658E3">
            <w:pPr>
              <w:rPr>
                <w:rFonts w:ascii="Arial" w:hAnsi="Arial" w:cs="Arial"/>
                <w:sz w:val="20"/>
                <w:szCs w:val="20"/>
              </w:rPr>
            </w:pPr>
          </w:p>
          <w:p w:rsidR="00A658E3" w:rsidRDefault="00A658E3" w:rsidP="00A658E3">
            <w:pPr>
              <w:rPr>
                <w:rFonts w:ascii="Arial" w:hAnsi="Arial" w:cs="Arial"/>
                <w:sz w:val="20"/>
                <w:szCs w:val="20"/>
              </w:rPr>
            </w:pPr>
            <w:r>
              <w:rPr>
                <w:rFonts w:eastAsia="Times New Roman"/>
              </w:rPr>
              <w:t>Meter failure due to damage/technical defect leading to inability to perform test</w:t>
            </w:r>
          </w:p>
          <w:p w:rsidR="00A658E3" w:rsidRDefault="00A658E3" w:rsidP="00A658E3">
            <w:pPr>
              <w:rPr>
                <w:rFonts w:ascii="Arial" w:hAnsi="Arial" w:cs="Arial"/>
                <w:sz w:val="20"/>
                <w:szCs w:val="20"/>
              </w:rPr>
            </w:pPr>
          </w:p>
          <w:p w:rsidR="00A658E3" w:rsidRDefault="00A658E3" w:rsidP="00A658E3">
            <w:pPr>
              <w:rPr>
                <w:rFonts w:ascii="Arial" w:hAnsi="Arial" w:cs="Arial"/>
                <w:sz w:val="20"/>
                <w:szCs w:val="20"/>
              </w:rPr>
            </w:pPr>
          </w:p>
          <w:p w:rsidR="00A658E3" w:rsidRDefault="00A658E3" w:rsidP="00A658E3">
            <w:pPr>
              <w:rPr>
                <w:rFonts w:ascii="Arial" w:hAnsi="Arial" w:cs="Arial"/>
                <w:sz w:val="20"/>
                <w:szCs w:val="20"/>
              </w:rPr>
            </w:pPr>
          </w:p>
          <w:p w:rsidR="00A658E3" w:rsidRDefault="00A658E3" w:rsidP="00A658E3">
            <w:pPr>
              <w:rPr>
                <w:rFonts w:ascii="Arial" w:hAnsi="Arial" w:cs="Arial"/>
                <w:sz w:val="20"/>
                <w:szCs w:val="20"/>
              </w:rPr>
            </w:pPr>
          </w:p>
          <w:p w:rsidR="00A658E3" w:rsidRPr="00B13718" w:rsidRDefault="00A658E3" w:rsidP="00A658E3">
            <w:pPr>
              <w:rPr>
                <w:rFonts w:ascii="Arial" w:hAnsi="Arial" w:cs="Arial"/>
                <w:sz w:val="20"/>
                <w:szCs w:val="20"/>
              </w:rPr>
            </w:pPr>
          </w:p>
        </w:tc>
        <w:tc>
          <w:tcPr>
            <w:tcW w:w="2747" w:type="dxa"/>
            <w:tcBorders>
              <w:top w:val="single" w:sz="4" w:space="0" w:color="auto"/>
              <w:left w:val="single" w:sz="4" w:space="0" w:color="auto"/>
              <w:bottom w:val="single" w:sz="4" w:space="0" w:color="auto"/>
              <w:right w:val="single" w:sz="4" w:space="0" w:color="auto"/>
            </w:tcBorders>
          </w:tcPr>
          <w:p w:rsidR="00A658E3" w:rsidRDefault="00A658E3" w:rsidP="00A658E3">
            <w:pPr>
              <w:rPr>
                <w:rFonts w:eastAsia="Times New Roman"/>
              </w:rPr>
            </w:pPr>
            <w:r>
              <w:rPr>
                <w:rFonts w:ascii="Arial" w:hAnsi="Arial" w:cs="Arial"/>
                <w:iCs/>
                <w:sz w:val="20"/>
                <w:szCs w:val="20"/>
              </w:rPr>
              <w:t xml:space="preserve"> </w:t>
            </w:r>
            <w:r>
              <w:rPr>
                <w:rFonts w:eastAsia="Times New Roman"/>
              </w:rPr>
              <w:t xml:space="preserve">24/7 technical phone support available from manufacturer. </w:t>
            </w:r>
          </w:p>
          <w:p w:rsidR="00A658E3" w:rsidRDefault="00A658E3" w:rsidP="00A658E3">
            <w:pPr>
              <w:rPr>
                <w:rFonts w:eastAsia="Times New Roman"/>
              </w:rPr>
            </w:pPr>
          </w:p>
          <w:p w:rsidR="00A658E3" w:rsidRDefault="00A658E3" w:rsidP="00A658E3">
            <w:pPr>
              <w:rPr>
                <w:rFonts w:eastAsia="Times New Roman"/>
              </w:rPr>
            </w:pPr>
            <w:r>
              <w:rPr>
                <w:rFonts w:eastAsia="Times New Roman"/>
              </w:rPr>
              <w:t xml:space="preserve">Meter replacement via courier as required. </w:t>
            </w:r>
          </w:p>
          <w:p w:rsidR="00A658E3" w:rsidRDefault="00A658E3" w:rsidP="00A658E3">
            <w:pPr>
              <w:rPr>
                <w:rFonts w:eastAsia="Times New Roman"/>
              </w:rPr>
            </w:pPr>
          </w:p>
          <w:p w:rsidR="00A658E3" w:rsidRDefault="00A658E3" w:rsidP="00A658E3">
            <w:pPr>
              <w:rPr>
                <w:rFonts w:eastAsia="Times New Roman"/>
              </w:rPr>
            </w:pPr>
            <w:r>
              <w:rPr>
                <w:rFonts w:eastAsia="Times New Roman"/>
              </w:rPr>
              <w:t xml:space="preserve">Manufacturer may provide regional back-up meter for shared use –awaiting confirmation. </w:t>
            </w:r>
          </w:p>
          <w:p w:rsidR="00A658E3" w:rsidRDefault="00A658E3" w:rsidP="00A658E3">
            <w:pPr>
              <w:rPr>
                <w:rFonts w:eastAsia="Times New Roman"/>
              </w:rPr>
            </w:pPr>
            <w:r>
              <w:rPr>
                <w:rFonts w:eastAsia="Times New Roman"/>
              </w:rPr>
              <w:br/>
              <w:t xml:space="preserve">Senior clinical staff to receive training in QC/set up of new meter in case of out of hours receipt. </w:t>
            </w:r>
          </w:p>
          <w:p w:rsidR="00A658E3" w:rsidRDefault="00A658E3" w:rsidP="00A658E3">
            <w:pPr>
              <w:rPr>
                <w:b/>
                <w:sz w:val="24"/>
                <w:szCs w:val="24"/>
              </w:rPr>
            </w:pPr>
            <w:r>
              <w:rPr>
                <w:rFonts w:eastAsia="Times New Roman"/>
              </w:rPr>
              <w:br/>
              <w:t>If unable to perform test, revert to previous care pathway.</w:t>
            </w:r>
          </w:p>
        </w:tc>
        <w:tc>
          <w:tcPr>
            <w:tcW w:w="439" w:type="dxa"/>
            <w:tcBorders>
              <w:top w:val="single" w:sz="4" w:space="0" w:color="auto"/>
              <w:left w:val="single" w:sz="4" w:space="0" w:color="auto"/>
              <w:bottom w:val="single" w:sz="4" w:space="0" w:color="auto"/>
              <w:right w:val="single" w:sz="4" w:space="0" w:color="auto"/>
            </w:tcBorders>
          </w:tcPr>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Pr="00976391" w:rsidRDefault="00A658E3" w:rsidP="00A658E3">
            <w:pPr>
              <w:jc w:val="center"/>
              <w:rPr>
                <w:rFonts w:ascii="Arial" w:hAnsi="Arial" w:cs="Arial"/>
                <w:b/>
                <w:sz w:val="20"/>
                <w:szCs w:val="20"/>
              </w:rPr>
            </w:pPr>
            <w:r>
              <w:rPr>
                <w:rFonts w:ascii="Arial" w:hAnsi="Arial" w:cs="Arial"/>
                <w:b/>
                <w:sz w:val="20"/>
                <w:szCs w:val="20"/>
              </w:rPr>
              <w:t>1</w:t>
            </w:r>
          </w:p>
        </w:tc>
        <w:tc>
          <w:tcPr>
            <w:tcW w:w="439" w:type="dxa"/>
            <w:tcBorders>
              <w:top w:val="single" w:sz="4" w:space="0" w:color="auto"/>
              <w:left w:val="single" w:sz="4" w:space="0" w:color="auto"/>
              <w:bottom w:val="single" w:sz="4" w:space="0" w:color="auto"/>
              <w:right w:val="single" w:sz="4" w:space="0" w:color="auto"/>
            </w:tcBorders>
          </w:tcPr>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Pr="00976391" w:rsidRDefault="00A658E3" w:rsidP="00A658E3">
            <w:pPr>
              <w:rPr>
                <w:rFonts w:ascii="Arial" w:hAnsi="Arial" w:cs="Arial"/>
                <w:b/>
                <w:sz w:val="20"/>
                <w:szCs w:val="20"/>
              </w:rPr>
            </w:pPr>
            <w:r>
              <w:rPr>
                <w:rFonts w:ascii="Arial" w:hAnsi="Arial" w:cs="Arial"/>
                <w:b/>
                <w:sz w:val="20"/>
                <w:szCs w:val="20"/>
              </w:rPr>
              <w:t>2</w:t>
            </w:r>
          </w:p>
        </w:tc>
        <w:tc>
          <w:tcPr>
            <w:tcW w:w="550" w:type="dxa"/>
            <w:tcBorders>
              <w:top w:val="single" w:sz="4" w:space="0" w:color="auto"/>
              <w:left w:val="single" w:sz="4" w:space="0" w:color="auto"/>
              <w:bottom w:val="single" w:sz="4" w:space="0" w:color="auto"/>
              <w:right w:val="single" w:sz="4" w:space="0" w:color="auto"/>
            </w:tcBorders>
          </w:tcPr>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Pr="00976391" w:rsidRDefault="00A658E3" w:rsidP="00A658E3">
            <w:pPr>
              <w:rPr>
                <w:rFonts w:ascii="Arial" w:hAnsi="Arial" w:cs="Arial"/>
                <w:b/>
                <w:sz w:val="20"/>
                <w:szCs w:val="20"/>
              </w:rPr>
            </w:pPr>
            <w:r>
              <w:rPr>
                <w:rFonts w:ascii="Arial" w:hAnsi="Arial" w:cs="Arial"/>
                <w:b/>
                <w:sz w:val="20"/>
                <w:szCs w:val="20"/>
              </w:rPr>
              <w:t>2</w:t>
            </w:r>
          </w:p>
        </w:tc>
        <w:tc>
          <w:tcPr>
            <w:tcW w:w="2984" w:type="dxa"/>
            <w:tcBorders>
              <w:top w:val="single" w:sz="4" w:space="0" w:color="auto"/>
              <w:left w:val="single" w:sz="4" w:space="0" w:color="auto"/>
              <w:bottom w:val="single" w:sz="4" w:space="0" w:color="auto"/>
              <w:right w:val="single" w:sz="4" w:space="0" w:color="auto"/>
            </w:tcBorders>
          </w:tcPr>
          <w:p w:rsidR="00A658E3" w:rsidRDefault="00904683" w:rsidP="00A658E3">
            <w:pPr>
              <w:rPr>
                <w:b/>
                <w:sz w:val="24"/>
                <w:szCs w:val="24"/>
              </w:rPr>
            </w:pPr>
            <w:r>
              <w:rPr>
                <w:b/>
                <w:sz w:val="24"/>
                <w:szCs w:val="24"/>
              </w:rPr>
              <w:t>NA</w:t>
            </w:r>
          </w:p>
          <w:p w:rsidR="00A658E3" w:rsidRDefault="00A658E3" w:rsidP="00A658E3">
            <w:pPr>
              <w:rPr>
                <w:b/>
                <w:sz w:val="24"/>
                <w:szCs w:val="24"/>
              </w:rPr>
            </w:pPr>
          </w:p>
          <w:p w:rsidR="00A658E3" w:rsidRDefault="00A658E3" w:rsidP="00A658E3">
            <w:pPr>
              <w:rPr>
                <w:b/>
                <w:sz w:val="24"/>
                <w:szCs w:val="24"/>
              </w:rPr>
            </w:pPr>
          </w:p>
          <w:p w:rsidR="00A658E3" w:rsidRDefault="00A658E3" w:rsidP="00A658E3">
            <w:pPr>
              <w:rPr>
                <w:b/>
                <w:sz w:val="24"/>
                <w:szCs w:val="24"/>
              </w:rPr>
            </w:pPr>
          </w:p>
          <w:p w:rsidR="00A658E3" w:rsidRDefault="00A658E3" w:rsidP="00A658E3">
            <w:pPr>
              <w:rPr>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A658E3" w:rsidRDefault="00904683" w:rsidP="00A658E3">
            <w:pPr>
              <w:rPr>
                <w:b/>
                <w:sz w:val="24"/>
                <w:szCs w:val="24"/>
              </w:rPr>
            </w:pPr>
            <w:r>
              <w:rPr>
                <w:b/>
                <w:sz w:val="24"/>
                <w:szCs w:val="24"/>
              </w:rPr>
              <w:t>NA</w:t>
            </w:r>
          </w:p>
        </w:tc>
        <w:tc>
          <w:tcPr>
            <w:tcW w:w="458" w:type="dxa"/>
            <w:tcBorders>
              <w:top w:val="single" w:sz="4" w:space="0" w:color="auto"/>
              <w:left w:val="single" w:sz="4" w:space="0" w:color="auto"/>
              <w:bottom w:val="single" w:sz="4" w:space="0" w:color="auto"/>
              <w:right w:val="single" w:sz="4" w:space="0" w:color="auto"/>
            </w:tcBorders>
          </w:tcPr>
          <w:p w:rsidR="00A658E3" w:rsidRDefault="00A658E3" w:rsidP="00A658E3">
            <w:pPr>
              <w:jc w:val="center"/>
              <w:rPr>
                <w:rFonts w:ascii="Arial" w:hAnsi="Arial" w:cs="Arial"/>
                <w:b/>
                <w:sz w:val="20"/>
                <w:szCs w:val="20"/>
              </w:rPr>
            </w:pPr>
          </w:p>
        </w:tc>
        <w:tc>
          <w:tcPr>
            <w:tcW w:w="458" w:type="dxa"/>
            <w:tcBorders>
              <w:top w:val="single" w:sz="4" w:space="0" w:color="auto"/>
              <w:left w:val="single" w:sz="4" w:space="0" w:color="auto"/>
              <w:bottom w:val="single" w:sz="4" w:space="0" w:color="auto"/>
              <w:right w:val="single" w:sz="4" w:space="0" w:color="auto"/>
            </w:tcBorders>
          </w:tcPr>
          <w:p w:rsidR="00A658E3" w:rsidRDefault="00A658E3" w:rsidP="00A658E3">
            <w:pPr>
              <w:jc w:val="center"/>
              <w:rPr>
                <w:rFonts w:ascii="Arial" w:hAnsi="Arial" w:cs="Arial"/>
                <w:b/>
                <w:sz w:val="20"/>
                <w:szCs w:val="20"/>
              </w:rPr>
            </w:pPr>
          </w:p>
        </w:tc>
        <w:tc>
          <w:tcPr>
            <w:tcW w:w="579" w:type="dxa"/>
            <w:tcBorders>
              <w:top w:val="single" w:sz="4" w:space="0" w:color="auto"/>
              <w:left w:val="single" w:sz="4" w:space="0" w:color="auto"/>
              <w:bottom w:val="single" w:sz="4" w:space="0" w:color="auto"/>
              <w:right w:val="single" w:sz="4" w:space="0" w:color="auto"/>
            </w:tcBorders>
          </w:tcPr>
          <w:p w:rsidR="00A658E3" w:rsidRDefault="00A658E3" w:rsidP="00A658E3">
            <w:pPr>
              <w:jc w:val="center"/>
              <w:rPr>
                <w:rFonts w:ascii="Arial" w:hAnsi="Arial" w:cs="Arial"/>
                <w:b/>
                <w:sz w:val="20"/>
                <w:szCs w:val="20"/>
              </w:rPr>
            </w:pPr>
          </w:p>
        </w:tc>
      </w:tr>
      <w:tr w:rsidR="00A658E3" w:rsidTr="00985F4F">
        <w:trPr>
          <w:trHeight w:val="1368"/>
        </w:trPr>
        <w:tc>
          <w:tcPr>
            <w:tcW w:w="3031" w:type="dxa"/>
            <w:tcBorders>
              <w:top w:val="single" w:sz="4" w:space="0" w:color="auto"/>
              <w:left w:val="single" w:sz="4" w:space="0" w:color="auto"/>
              <w:bottom w:val="single" w:sz="4" w:space="0" w:color="auto"/>
              <w:right w:val="single" w:sz="4" w:space="0" w:color="auto"/>
            </w:tcBorders>
          </w:tcPr>
          <w:p w:rsidR="00A658E3" w:rsidRDefault="00A658E3" w:rsidP="00A658E3">
            <w:pPr>
              <w:rPr>
                <w:b/>
                <w:sz w:val="24"/>
                <w:szCs w:val="24"/>
              </w:rPr>
            </w:pPr>
          </w:p>
          <w:p w:rsidR="00A658E3" w:rsidRDefault="00A658E3" w:rsidP="00A658E3">
            <w:pPr>
              <w:rPr>
                <w:b/>
                <w:sz w:val="24"/>
                <w:szCs w:val="24"/>
              </w:rPr>
            </w:pPr>
          </w:p>
          <w:p w:rsidR="00A658E3" w:rsidRDefault="00A658E3" w:rsidP="00A658E3">
            <w:pPr>
              <w:rPr>
                <w:b/>
                <w:sz w:val="24"/>
                <w:szCs w:val="24"/>
              </w:rPr>
            </w:pPr>
          </w:p>
          <w:p w:rsidR="00A658E3" w:rsidRDefault="00A658E3" w:rsidP="00A658E3">
            <w:pPr>
              <w:rPr>
                <w:b/>
                <w:sz w:val="24"/>
                <w:szCs w:val="24"/>
              </w:rPr>
            </w:pPr>
            <w:r>
              <w:rPr>
                <w:rFonts w:eastAsia="Times New Roman"/>
              </w:rPr>
              <w:t>QC fail due to damage/loss of QC liquids/test/supervisor chip/human error, leading to inability to perform test.</w:t>
            </w:r>
          </w:p>
          <w:p w:rsidR="00A658E3" w:rsidRDefault="00A658E3" w:rsidP="00A658E3">
            <w:pPr>
              <w:rPr>
                <w:b/>
                <w:sz w:val="24"/>
                <w:szCs w:val="24"/>
              </w:rPr>
            </w:pPr>
          </w:p>
          <w:p w:rsidR="00A658E3" w:rsidRDefault="00A658E3" w:rsidP="00A658E3">
            <w:pPr>
              <w:rPr>
                <w:b/>
                <w:sz w:val="24"/>
                <w:szCs w:val="24"/>
              </w:rPr>
            </w:pPr>
          </w:p>
          <w:p w:rsidR="00A658E3" w:rsidRDefault="00A658E3" w:rsidP="00A658E3">
            <w:pPr>
              <w:rPr>
                <w:b/>
                <w:sz w:val="24"/>
                <w:szCs w:val="24"/>
              </w:rPr>
            </w:pPr>
          </w:p>
        </w:tc>
        <w:tc>
          <w:tcPr>
            <w:tcW w:w="2747" w:type="dxa"/>
            <w:tcBorders>
              <w:top w:val="single" w:sz="4" w:space="0" w:color="auto"/>
              <w:left w:val="single" w:sz="4" w:space="0" w:color="auto"/>
              <w:bottom w:val="single" w:sz="4" w:space="0" w:color="auto"/>
              <w:right w:val="single" w:sz="4" w:space="0" w:color="auto"/>
            </w:tcBorders>
          </w:tcPr>
          <w:p w:rsidR="00A658E3" w:rsidRDefault="00A658E3" w:rsidP="00A658E3">
            <w:pPr>
              <w:spacing w:before="60"/>
            </w:pPr>
            <w:r>
              <w:t xml:space="preserve">24/7 technical phone support available from manufacturer. </w:t>
            </w:r>
          </w:p>
          <w:p w:rsidR="00A658E3" w:rsidRDefault="00A658E3" w:rsidP="00A658E3">
            <w:pPr>
              <w:spacing w:before="60"/>
            </w:pPr>
          </w:p>
          <w:p w:rsidR="00A658E3" w:rsidRDefault="00A658E3" w:rsidP="00A658E3">
            <w:pPr>
              <w:spacing w:before="60"/>
            </w:pPr>
            <w:r>
              <w:t>QC liquids replacement via courier as required.</w:t>
            </w:r>
          </w:p>
          <w:p w:rsidR="00A658E3" w:rsidRDefault="00A658E3" w:rsidP="00A658E3">
            <w:r>
              <w:br/>
              <w:t>Reciprocal agreement with neighbouring trusts also receiving ITP regarding sharing of QC/test kits in lieu of resupply.</w:t>
            </w:r>
            <w:r>
              <w:br/>
            </w:r>
          </w:p>
          <w:p w:rsidR="00A658E3" w:rsidRDefault="00A658E3" w:rsidP="00A658E3">
            <w:pPr>
              <w:spacing w:before="60"/>
            </w:pPr>
            <w:r>
              <w:t xml:space="preserve">2 </w:t>
            </w:r>
            <w:proofErr w:type="spellStart"/>
            <w:r>
              <w:t>iQC</w:t>
            </w:r>
            <w:proofErr w:type="spellEnd"/>
            <w:r>
              <w:t xml:space="preserve"> chips are supplied allowing for an immediate replacement if one is lost</w:t>
            </w:r>
          </w:p>
          <w:p w:rsidR="00A658E3" w:rsidRDefault="00A658E3" w:rsidP="00A658E3">
            <w:pPr>
              <w:spacing w:before="60"/>
            </w:pPr>
          </w:p>
          <w:p w:rsidR="00A658E3" w:rsidRPr="0016163D" w:rsidRDefault="00A658E3" w:rsidP="00A658E3">
            <w:pPr>
              <w:spacing w:before="60"/>
            </w:pPr>
            <w:r>
              <w:t>If unable to perform test, revert to previous care pathway.</w:t>
            </w:r>
          </w:p>
        </w:tc>
        <w:tc>
          <w:tcPr>
            <w:tcW w:w="439" w:type="dxa"/>
            <w:tcBorders>
              <w:top w:val="single" w:sz="4" w:space="0" w:color="auto"/>
              <w:left w:val="single" w:sz="4" w:space="0" w:color="auto"/>
              <w:bottom w:val="single" w:sz="4" w:space="0" w:color="auto"/>
              <w:right w:val="single" w:sz="4" w:space="0" w:color="auto"/>
            </w:tcBorders>
          </w:tcPr>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Pr="00976391" w:rsidRDefault="00A658E3" w:rsidP="00A658E3">
            <w:pPr>
              <w:jc w:val="center"/>
              <w:rPr>
                <w:rFonts w:ascii="Arial" w:hAnsi="Arial" w:cs="Arial"/>
                <w:b/>
                <w:sz w:val="20"/>
                <w:szCs w:val="20"/>
              </w:rPr>
            </w:pPr>
            <w:r>
              <w:rPr>
                <w:rFonts w:ascii="Arial" w:hAnsi="Arial" w:cs="Arial"/>
                <w:b/>
                <w:sz w:val="20"/>
                <w:szCs w:val="20"/>
              </w:rPr>
              <w:t>3</w:t>
            </w:r>
          </w:p>
        </w:tc>
        <w:tc>
          <w:tcPr>
            <w:tcW w:w="439" w:type="dxa"/>
            <w:tcBorders>
              <w:top w:val="single" w:sz="4" w:space="0" w:color="auto"/>
              <w:left w:val="single" w:sz="4" w:space="0" w:color="auto"/>
              <w:bottom w:val="single" w:sz="4" w:space="0" w:color="auto"/>
              <w:right w:val="single" w:sz="4" w:space="0" w:color="auto"/>
            </w:tcBorders>
          </w:tcPr>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Pr="00976391" w:rsidRDefault="00A658E3" w:rsidP="00A658E3">
            <w:pPr>
              <w:jc w:val="center"/>
              <w:rPr>
                <w:rFonts w:ascii="Arial" w:hAnsi="Arial" w:cs="Arial"/>
                <w:b/>
                <w:sz w:val="20"/>
                <w:szCs w:val="20"/>
              </w:rPr>
            </w:pPr>
            <w:r>
              <w:rPr>
                <w:rFonts w:ascii="Arial" w:hAnsi="Arial" w:cs="Arial"/>
                <w:b/>
                <w:sz w:val="20"/>
                <w:szCs w:val="20"/>
              </w:rPr>
              <w:t>2</w:t>
            </w:r>
          </w:p>
        </w:tc>
        <w:tc>
          <w:tcPr>
            <w:tcW w:w="550" w:type="dxa"/>
            <w:tcBorders>
              <w:top w:val="single" w:sz="4" w:space="0" w:color="auto"/>
              <w:left w:val="single" w:sz="4" w:space="0" w:color="auto"/>
              <w:bottom w:val="single" w:sz="4" w:space="0" w:color="auto"/>
              <w:right w:val="single" w:sz="4" w:space="0" w:color="auto"/>
            </w:tcBorders>
          </w:tcPr>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jc w:val="center"/>
              <w:rPr>
                <w:rFonts w:ascii="Arial" w:hAnsi="Arial" w:cs="Arial"/>
                <w:b/>
                <w:sz w:val="20"/>
                <w:szCs w:val="20"/>
              </w:rPr>
            </w:pPr>
          </w:p>
          <w:p w:rsidR="00A658E3" w:rsidRDefault="00A658E3" w:rsidP="00A658E3">
            <w:pPr>
              <w:rPr>
                <w:rFonts w:ascii="Arial" w:hAnsi="Arial" w:cs="Arial"/>
                <w:b/>
                <w:sz w:val="20"/>
                <w:szCs w:val="20"/>
              </w:rPr>
            </w:pPr>
            <w:r>
              <w:rPr>
                <w:rFonts w:ascii="Arial" w:hAnsi="Arial" w:cs="Arial"/>
                <w:b/>
                <w:sz w:val="20"/>
                <w:szCs w:val="20"/>
              </w:rPr>
              <w:t>6</w:t>
            </w:r>
          </w:p>
          <w:p w:rsidR="00A658E3" w:rsidRPr="00976391" w:rsidRDefault="00A658E3" w:rsidP="00A658E3">
            <w:pPr>
              <w:jc w:val="center"/>
              <w:rPr>
                <w:rFonts w:ascii="Arial" w:hAnsi="Arial" w:cs="Arial"/>
                <w:b/>
                <w:sz w:val="20"/>
                <w:szCs w:val="20"/>
              </w:rPr>
            </w:pPr>
          </w:p>
        </w:tc>
        <w:tc>
          <w:tcPr>
            <w:tcW w:w="2984" w:type="dxa"/>
            <w:tcBorders>
              <w:top w:val="single" w:sz="4" w:space="0" w:color="auto"/>
              <w:left w:val="single" w:sz="4" w:space="0" w:color="auto"/>
              <w:bottom w:val="single" w:sz="4" w:space="0" w:color="auto"/>
              <w:right w:val="single" w:sz="4" w:space="0" w:color="auto"/>
            </w:tcBorders>
          </w:tcPr>
          <w:p w:rsidR="00A658E3" w:rsidRPr="0016163D" w:rsidRDefault="00A658E3" w:rsidP="00A658E3">
            <w:pPr>
              <w:rPr>
                <w:rFonts w:ascii="Arial" w:hAnsi="Arial" w:cs="Arial"/>
                <w:sz w:val="20"/>
                <w:szCs w:val="20"/>
              </w:rPr>
            </w:pPr>
          </w:p>
          <w:p w:rsidR="00A658E3" w:rsidRPr="0016163D" w:rsidRDefault="00A658E3" w:rsidP="00A658E3">
            <w:pPr>
              <w:rPr>
                <w:rFonts w:ascii="Arial" w:hAnsi="Arial" w:cs="Arial"/>
                <w:sz w:val="20"/>
                <w:szCs w:val="20"/>
              </w:rPr>
            </w:pPr>
          </w:p>
          <w:p w:rsidR="00A658E3" w:rsidRPr="00904683" w:rsidRDefault="00904683" w:rsidP="00A658E3">
            <w:pPr>
              <w:rPr>
                <w:rFonts w:ascii="Arial" w:hAnsi="Arial" w:cs="Arial"/>
                <w:b/>
                <w:sz w:val="20"/>
                <w:szCs w:val="20"/>
              </w:rPr>
            </w:pPr>
            <w:r w:rsidRPr="00904683">
              <w:rPr>
                <w:rFonts w:ascii="Arial" w:hAnsi="Arial" w:cs="Arial"/>
                <w:b/>
                <w:sz w:val="20"/>
                <w:szCs w:val="20"/>
              </w:rPr>
              <w:t>NA</w:t>
            </w:r>
          </w:p>
          <w:p w:rsidR="00A658E3" w:rsidRPr="0016163D" w:rsidRDefault="00A658E3" w:rsidP="00A658E3">
            <w:pPr>
              <w:rPr>
                <w:rFonts w:ascii="Arial" w:hAnsi="Arial" w:cs="Arial"/>
                <w:sz w:val="20"/>
                <w:szCs w:val="20"/>
              </w:rPr>
            </w:pPr>
          </w:p>
          <w:p w:rsidR="00A658E3" w:rsidRPr="0016163D" w:rsidRDefault="00A658E3" w:rsidP="00A658E3">
            <w:pPr>
              <w:rPr>
                <w:rFonts w:ascii="Arial" w:hAnsi="Arial" w:cs="Arial"/>
                <w:sz w:val="20"/>
                <w:szCs w:val="20"/>
              </w:rPr>
            </w:pPr>
          </w:p>
          <w:p w:rsidR="00A658E3" w:rsidRPr="0016163D" w:rsidRDefault="00A658E3" w:rsidP="00A658E3">
            <w:pPr>
              <w:rPr>
                <w:rFonts w:ascii="Arial" w:hAnsi="Arial" w:cs="Arial"/>
                <w:sz w:val="20"/>
                <w:szCs w:val="20"/>
              </w:rPr>
            </w:pPr>
          </w:p>
          <w:p w:rsidR="00A658E3" w:rsidRPr="0016163D" w:rsidRDefault="00A658E3" w:rsidP="00A658E3">
            <w:pPr>
              <w:rPr>
                <w:rFonts w:ascii="Arial" w:hAnsi="Arial" w:cs="Arial"/>
                <w:sz w:val="20"/>
                <w:szCs w:val="20"/>
              </w:rPr>
            </w:pPr>
          </w:p>
          <w:p w:rsidR="00A658E3" w:rsidRPr="0016163D" w:rsidRDefault="00A658E3" w:rsidP="00A658E3">
            <w:pPr>
              <w:rPr>
                <w:rFonts w:ascii="Arial" w:hAnsi="Arial" w:cs="Arial"/>
                <w:sz w:val="20"/>
                <w:szCs w:val="20"/>
              </w:rPr>
            </w:pPr>
          </w:p>
          <w:p w:rsidR="00A658E3" w:rsidRPr="0016163D" w:rsidRDefault="00A658E3" w:rsidP="00A658E3">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A658E3" w:rsidRDefault="00A658E3" w:rsidP="00A658E3">
            <w:pPr>
              <w:rPr>
                <w:b/>
                <w:sz w:val="24"/>
                <w:szCs w:val="24"/>
              </w:rPr>
            </w:pPr>
          </w:p>
          <w:p w:rsidR="00904683" w:rsidRDefault="00904683" w:rsidP="00A658E3">
            <w:pPr>
              <w:rPr>
                <w:b/>
                <w:sz w:val="24"/>
                <w:szCs w:val="24"/>
              </w:rPr>
            </w:pPr>
          </w:p>
          <w:p w:rsidR="00904683" w:rsidRDefault="00904683" w:rsidP="00A658E3">
            <w:pPr>
              <w:rPr>
                <w:b/>
                <w:sz w:val="24"/>
                <w:szCs w:val="24"/>
              </w:rPr>
            </w:pPr>
            <w:r>
              <w:rPr>
                <w:b/>
                <w:sz w:val="24"/>
                <w:szCs w:val="24"/>
              </w:rPr>
              <w:t>NA</w:t>
            </w:r>
          </w:p>
        </w:tc>
        <w:tc>
          <w:tcPr>
            <w:tcW w:w="458" w:type="dxa"/>
            <w:tcBorders>
              <w:top w:val="single" w:sz="4" w:space="0" w:color="auto"/>
              <w:left w:val="single" w:sz="4" w:space="0" w:color="auto"/>
              <w:bottom w:val="single" w:sz="4" w:space="0" w:color="auto"/>
              <w:right w:val="single" w:sz="4" w:space="0" w:color="auto"/>
            </w:tcBorders>
          </w:tcPr>
          <w:p w:rsidR="00A658E3" w:rsidRDefault="00A658E3" w:rsidP="00A658E3">
            <w:pPr>
              <w:rPr>
                <w:b/>
                <w:sz w:val="24"/>
                <w:szCs w:val="24"/>
              </w:rPr>
            </w:pPr>
          </w:p>
        </w:tc>
        <w:tc>
          <w:tcPr>
            <w:tcW w:w="458" w:type="dxa"/>
            <w:tcBorders>
              <w:top w:val="single" w:sz="4" w:space="0" w:color="auto"/>
              <w:left w:val="single" w:sz="4" w:space="0" w:color="auto"/>
              <w:bottom w:val="single" w:sz="4" w:space="0" w:color="auto"/>
              <w:right w:val="single" w:sz="4" w:space="0" w:color="auto"/>
            </w:tcBorders>
          </w:tcPr>
          <w:p w:rsidR="00A658E3" w:rsidRDefault="00A658E3" w:rsidP="00A658E3">
            <w:pPr>
              <w:rPr>
                <w:b/>
                <w:sz w:val="24"/>
                <w:szCs w:val="24"/>
              </w:rPr>
            </w:pPr>
          </w:p>
        </w:tc>
        <w:tc>
          <w:tcPr>
            <w:tcW w:w="579" w:type="dxa"/>
            <w:tcBorders>
              <w:top w:val="single" w:sz="4" w:space="0" w:color="auto"/>
              <w:left w:val="single" w:sz="4" w:space="0" w:color="auto"/>
              <w:bottom w:val="single" w:sz="4" w:space="0" w:color="auto"/>
              <w:right w:val="single" w:sz="4" w:space="0" w:color="auto"/>
            </w:tcBorders>
          </w:tcPr>
          <w:p w:rsidR="00A658E3" w:rsidRDefault="00A658E3" w:rsidP="00A658E3">
            <w:pPr>
              <w:rPr>
                <w:b/>
                <w:sz w:val="24"/>
                <w:szCs w:val="24"/>
              </w:rPr>
            </w:pPr>
          </w:p>
        </w:tc>
      </w:tr>
      <w:tr w:rsidR="00985F4F" w:rsidTr="00985F4F">
        <w:trPr>
          <w:trHeight w:val="601"/>
        </w:trPr>
        <w:tc>
          <w:tcPr>
            <w:tcW w:w="3031" w:type="dxa"/>
            <w:tcBorders>
              <w:top w:val="single" w:sz="4" w:space="0" w:color="auto"/>
              <w:left w:val="single" w:sz="4" w:space="0" w:color="auto"/>
              <w:bottom w:val="single" w:sz="4" w:space="0" w:color="auto"/>
              <w:right w:val="single" w:sz="4" w:space="0" w:color="auto"/>
            </w:tcBorders>
          </w:tcPr>
          <w:p w:rsidR="00985F4F" w:rsidRDefault="00985F4F" w:rsidP="00985F4F">
            <w:pPr>
              <w:rPr>
                <w:rFonts w:ascii="Arial" w:hAnsi="Arial" w:cs="Arial"/>
                <w:sz w:val="20"/>
                <w:szCs w:val="20"/>
              </w:rPr>
            </w:pPr>
          </w:p>
          <w:p w:rsidR="00985F4F" w:rsidRDefault="00985F4F" w:rsidP="00985F4F">
            <w:pPr>
              <w:rPr>
                <w:rFonts w:eastAsia="Times New Roman"/>
              </w:rPr>
            </w:pPr>
            <w:r>
              <w:rPr>
                <w:rFonts w:eastAsia="Times New Roman"/>
              </w:rPr>
              <w:t xml:space="preserve">Blood/serum spillage during analysis process in clinical area. </w:t>
            </w:r>
            <w:r>
              <w:t>Patient samples pose a biological hazard</w:t>
            </w:r>
          </w:p>
          <w:p w:rsidR="00985F4F" w:rsidRDefault="00985F4F" w:rsidP="00985F4F">
            <w:pPr>
              <w:rPr>
                <w:rFonts w:ascii="Arial" w:hAnsi="Arial" w:cs="Arial"/>
                <w:sz w:val="20"/>
                <w:szCs w:val="20"/>
              </w:rPr>
            </w:pPr>
          </w:p>
          <w:p w:rsidR="00985F4F" w:rsidRPr="00B13718" w:rsidRDefault="00985F4F" w:rsidP="00985F4F">
            <w:pPr>
              <w:rPr>
                <w:rFonts w:ascii="Arial" w:hAnsi="Arial" w:cs="Arial"/>
                <w:sz w:val="20"/>
                <w:szCs w:val="20"/>
              </w:rPr>
            </w:pPr>
          </w:p>
        </w:tc>
        <w:tc>
          <w:tcPr>
            <w:tcW w:w="2747" w:type="dxa"/>
            <w:tcBorders>
              <w:top w:val="single" w:sz="4" w:space="0" w:color="auto"/>
              <w:left w:val="single" w:sz="4" w:space="0" w:color="auto"/>
              <w:bottom w:val="single" w:sz="4" w:space="0" w:color="auto"/>
              <w:right w:val="single" w:sz="4" w:space="0" w:color="auto"/>
            </w:tcBorders>
          </w:tcPr>
          <w:p w:rsidR="00985F4F" w:rsidRDefault="00985F4F" w:rsidP="00985F4F">
            <w:pPr>
              <w:pStyle w:val="NormalWeb"/>
            </w:pPr>
            <w:r>
              <w:t> </w:t>
            </w:r>
          </w:p>
          <w:p w:rsidR="00985F4F" w:rsidRDefault="00985F4F" w:rsidP="00985F4F">
            <w:r>
              <w:t xml:space="preserve">Established protocol in place for management of this risk: </w:t>
            </w:r>
            <w:r>
              <w:br/>
              <w:t>Section 5.6 Universal Standard Infection Control Precautions (RUH 622).</w:t>
            </w:r>
          </w:p>
          <w:p w:rsidR="00985F4F" w:rsidRDefault="00985F4F" w:rsidP="00985F4F"/>
          <w:p w:rsidR="00985F4F" w:rsidRPr="00B13718" w:rsidRDefault="00985F4F" w:rsidP="00985F4F">
            <w:pPr>
              <w:rPr>
                <w:rFonts w:ascii="Arial" w:hAnsi="Arial" w:cs="Arial"/>
                <w:sz w:val="20"/>
                <w:szCs w:val="20"/>
              </w:rPr>
            </w:pPr>
            <w:r>
              <w:rPr>
                <w:rFonts w:ascii="Arial" w:hAnsi="Arial" w:cs="Arial"/>
                <w:sz w:val="20"/>
                <w:szCs w:val="20"/>
              </w:rPr>
              <w:t xml:space="preserve">Section 3.4 (COSHH &amp; safety) of the </w:t>
            </w:r>
            <w:proofErr w:type="spellStart"/>
            <w:r>
              <w:rPr>
                <w:rFonts w:ascii="Arial" w:hAnsi="Arial" w:cs="Arial"/>
                <w:sz w:val="20"/>
                <w:szCs w:val="20"/>
              </w:rPr>
              <w:t>Quidel</w:t>
            </w:r>
            <w:proofErr w:type="spellEnd"/>
            <w:r>
              <w:rPr>
                <w:rFonts w:ascii="Arial" w:hAnsi="Arial" w:cs="Arial"/>
                <w:sz w:val="20"/>
                <w:szCs w:val="20"/>
              </w:rPr>
              <w:t xml:space="preserve"> Triage </w:t>
            </w:r>
            <w:proofErr w:type="spellStart"/>
            <w:r>
              <w:rPr>
                <w:rFonts w:ascii="Arial" w:hAnsi="Arial" w:cs="Arial"/>
                <w:sz w:val="20"/>
                <w:szCs w:val="20"/>
              </w:rPr>
              <w:t>MeterPro</w:t>
            </w:r>
            <w:proofErr w:type="spellEnd"/>
            <w:r>
              <w:rPr>
                <w:rFonts w:ascii="Arial" w:hAnsi="Arial" w:cs="Arial"/>
                <w:sz w:val="20"/>
                <w:szCs w:val="20"/>
              </w:rPr>
              <w:t xml:space="preserve"> standard operating procedure.</w:t>
            </w:r>
          </w:p>
        </w:tc>
        <w:tc>
          <w:tcPr>
            <w:tcW w:w="439" w:type="dxa"/>
            <w:tcBorders>
              <w:top w:val="single" w:sz="4" w:space="0" w:color="auto"/>
              <w:left w:val="single" w:sz="4" w:space="0" w:color="auto"/>
              <w:bottom w:val="single" w:sz="4" w:space="0" w:color="auto"/>
              <w:right w:val="single" w:sz="4" w:space="0" w:color="auto"/>
            </w:tcBorders>
          </w:tcPr>
          <w:p w:rsidR="00985F4F" w:rsidRDefault="00985F4F" w:rsidP="00985F4F">
            <w:pPr>
              <w:jc w:val="center"/>
              <w:rPr>
                <w:rFonts w:ascii="Arial" w:hAnsi="Arial" w:cs="Arial"/>
                <w:b/>
                <w:sz w:val="20"/>
                <w:szCs w:val="20"/>
              </w:rPr>
            </w:pPr>
          </w:p>
          <w:p w:rsidR="00985F4F" w:rsidRDefault="00985F4F" w:rsidP="00985F4F">
            <w:pPr>
              <w:jc w:val="center"/>
              <w:rPr>
                <w:rFonts w:ascii="Arial" w:hAnsi="Arial" w:cs="Arial"/>
                <w:b/>
                <w:sz w:val="20"/>
                <w:szCs w:val="20"/>
              </w:rPr>
            </w:pPr>
          </w:p>
          <w:p w:rsidR="00985F4F" w:rsidRDefault="00985F4F" w:rsidP="00985F4F">
            <w:pPr>
              <w:jc w:val="center"/>
              <w:rPr>
                <w:rFonts w:ascii="Arial" w:hAnsi="Arial" w:cs="Arial"/>
                <w:b/>
                <w:sz w:val="20"/>
                <w:szCs w:val="20"/>
              </w:rPr>
            </w:pPr>
          </w:p>
          <w:p w:rsidR="00985F4F" w:rsidRDefault="00985F4F" w:rsidP="00985F4F">
            <w:pPr>
              <w:jc w:val="center"/>
              <w:rPr>
                <w:rFonts w:ascii="Arial" w:hAnsi="Arial" w:cs="Arial"/>
                <w:b/>
                <w:sz w:val="20"/>
                <w:szCs w:val="20"/>
              </w:rPr>
            </w:pPr>
          </w:p>
          <w:p w:rsidR="00985F4F" w:rsidRPr="00B13718" w:rsidRDefault="00985F4F" w:rsidP="00985F4F">
            <w:pPr>
              <w:jc w:val="center"/>
              <w:rPr>
                <w:rFonts w:ascii="Arial" w:hAnsi="Arial" w:cs="Arial"/>
                <w:b/>
                <w:sz w:val="20"/>
                <w:szCs w:val="20"/>
              </w:rPr>
            </w:pPr>
            <w:r>
              <w:rPr>
                <w:rFonts w:ascii="Arial" w:hAnsi="Arial" w:cs="Arial"/>
                <w:b/>
                <w:sz w:val="20"/>
                <w:szCs w:val="20"/>
              </w:rPr>
              <w:t>3</w:t>
            </w:r>
          </w:p>
        </w:tc>
        <w:tc>
          <w:tcPr>
            <w:tcW w:w="439" w:type="dxa"/>
            <w:tcBorders>
              <w:top w:val="single" w:sz="4" w:space="0" w:color="auto"/>
              <w:left w:val="single" w:sz="4" w:space="0" w:color="auto"/>
              <w:bottom w:val="single" w:sz="4" w:space="0" w:color="auto"/>
              <w:right w:val="single" w:sz="4" w:space="0" w:color="auto"/>
            </w:tcBorders>
          </w:tcPr>
          <w:p w:rsidR="00985F4F" w:rsidRDefault="00985F4F" w:rsidP="00985F4F">
            <w:pPr>
              <w:jc w:val="center"/>
              <w:rPr>
                <w:rFonts w:ascii="Arial" w:hAnsi="Arial" w:cs="Arial"/>
                <w:b/>
                <w:sz w:val="20"/>
                <w:szCs w:val="20"/>
              </w:rPr>
            </w:pPr>
          </w:p>
          <w:p w:rsidR="00985F4F" w:rsidRDefault="00985F4F" w:rsidP="00985F4F">
            <w:pPr>
              <w:jc w:val="center"/>
              <w:rPr>
                <w:rFonts w:ascii="Arial" w:hAnsi="Arial" w:cs="Arial"/>
                <w:b/>
                <w:sz w:val="20"/>
                <w:szCs w:val="20"/>
              </w:rPr>
            </w:pPr>
          </w:p>
          <w:p w:rsidR="00985F4F" w:rsidRDefault="00985F4F" w:rsidP="00985F4F">
            <w:pPr>
              <w:jc w:val="center"/>
              <w:rPr>
                <w:rFonts w:ascii="Arial" w:hAnsi="Arial" w:cs="Arial"/>
                <w:b/>
                <w:sz w:val="20"/>
                <w:szCs w:val="20"/>
              </w:rPr>
            </w:pPr>
          </w:p>
          <w:p w:rsidR="00985F4F" w:rsidRDefault="00985F4F" w:rsidP="00985F4F">
            <w:pPr>
              <w:jc w:val="center"/>
              <w:rPr>
                <w:rFonts w:ascii="Arial" w:hAnsi="Arial" w:cs="Arial"/>
                <w:b/>
                <w:sz w:val="20"/>
                <w:szCs w:val="20"/>
              </w:rPr>
            </w:pPr>
          </w:p>
          <w:p w:rsidR="00985F4F" w:rsidRDefault="00985F4F" w:rsidP="00985F4F">
            <w:pPr>
              <w:jc w:val="center"/>
              <w:rPr>
                <w:rFonts w:ascii="Arial" w:hAnsi="Arial" w:cs="Arial"/>
                <w:b/>
                <w:sz w:val="20"/>
                <w:szCs w:val="20"/>
              </w:rPr>
            </w:pPr>
            <w:r>
              <w:rPr>
                <w:rFonts w:ascii="Arial" w:hAnsi="Arial" w:cs="Arial"/>
                <w:b/>
                <w:sz w:val="20"/>
                <w:szCs w:val="20"/>
              </w:rPr>
              <w:t>2</w:t>
            </w:r>
          </w:p>
          <w:p w:rsidR="00985F4F" w:rsidRPr="00B13718" w:rsidRDefault="00985F4F" w:rsidP="00985F4F">
            <w:pPr>
              <w:jc w:val="center"/>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rsidR="00985F4F" w:rsidRDefault="00985F4F" w:rsidP="00985F4F">
            <w:pPr>
              <w:jc w:val="center"/>
              <w:rPr>
                <w:rFonts w:ascii="Arial" w:hAnsi="Arial" w:cs="Arial"/>
                <w:b/>
                <w:sz w:val="20"/>
                <w:szCs w:val="20"/>
              </w:rPr>
            </w:pPr>
          </w:p>
          <w:p w:rsidR="00985F4F" w:rsidRDefault="00985F4F" w:rsidP="00985F4F">
            <w:pPr>
              <w:jc w:val="center"/>
              <w:rPr>
                <w:rFonts w:ascii="Arial" w:hAnsi="Arial" w:cs="Arial"/>
                <w:b/>
                <w:sz w:val="20"/>
                <w:szCs w:val="20"/>
              </w:rPr>
            </w:pPr>
          </w:p>
          <w:p w:rsidR="00985F4F" w:rsidRDefault="00985F4F" w:rsidP="00985F4F">
            <w:pPr>
              <w:jc w:val="center"/>
              <w:rPr>
                <w:rFonts w:ascii="Arial" w:hAnsi="Arial" w:cs="Arial"/>
                <w:b/>
                <w:sz w:val="20"/>
                <w:szCs w:val="20"/>
              </w:rPr>
            </w:pPr>
          </w:p>
          <w:p w:rsidR="00985F4F" w:rsidRDefault="00985F4F" w:rsidP="00985F4F">
            <w:pPr>
              <w:jc w:val="center"/>
              <w:rPr>
                <w:rFonts w:ascii="Arial" w:hAnsi="Arial" w:cs="Arial"/>
                <w:b/>
                <w:sz w:val="20"/>
                <w:szCs w:val="20"/>
              </w:rPr>
            </w:pPr>
          </w:p>
          <w:p w:rsidR="00985F4F" w:rsidRPr="00B13718" w:rsidRDefault="00985F4F" w:rsidP="00985F4F">
            <w:pPr>
              <w:jc w:val="center"/>
              <w:rPr>
                <w:rFonts w:ascii="Arial" w:hAnsi="Arial" w:cs="Arial"/>
                <w:b/>
                <w:sz w:val="20"/>
                <w:szCs w:val="20"/>
              </w:rPr>
            </w:pPr>
            <w:r>
              <w:rPr>
                <w:rFonts w:ascii="Arial" w:hAnsi="Arial" w:cs="Arial"/>
                <w:b/>
                <w:sz w:val="20"/>
                <w:szCs w:val="20"/>
              </w:rPr>
              <w:t>6</w:t>
            </w:r>
          </w:p>
        </w:tc>
        <w:tc>
          <w:tcPr>
            <w:tcW w:w="2984" w:type="dxa"/>
            <w:tcBorders>
              <w:top w:val="single" w:sz="4" w:space="0" w:color="auto"/>
              <w:left w:val="single" w:sz="4" w:space="0" w:color="auto"/>
              <w:bottom w:val="single" w:sz="4" w:space="0" w:color="auto"/>
              <w:right w:val="single" w:sz="4" w:space="0" w:color="auto"/>
            </w:tcBorders>
          </w:tcPr>
          <w:p w:rsidR="00985F4F" w:rsidRDefault="00985F4F" w:rsidP="00985F4F">
            <w:pPr>
              <w:jc w:val="center"/>
              <w:rPr>
                <w:rFonts w:ascii="Arial" w:hAnsi="Arial" w:cs="Arial"/>
                <w:b/>
                <w:sz w:val="20"/>
                <w:szCs w:val="20"/>
              </w:rPr>
            </w:pPr>
          </w:p>
          <w:p w:rsidR="00904683" w:rsidRDefault="00904683" w:rsidP="00985F4F">
            <w:pPr>
              <w:jc w:val="center"/>
              <w:rPr>
                <w:rFonts w:ascii="Arial" w:hAnsi="Arial" w:cs="Arial"/>
                <w:b/>
                <w:sz w:val="20"/>
                <w:szCs w:val="20"/>
              </w:rPr>
            </w:pPr>
          </w:p>
          <w:p w:rsidR="00904683" w:rsidRDefault="00904683" w:rsidP="00985F4F">
            <w:pPr>
              <w:jc w:val="center"/>
              <w:rPr>
                <w:rFonts w:ascii="Arial" w:hAnsi="Arial" w:cs="Arial"/>
                <w:b/>
                <w:sz w:val="20"/>
                <w:szCs w:val="20"/>
              </w:rPr>
            </w:pPr>
          </w:p>
          <w:p w:rsidR="00904683" w:rsidRDefault="00904683" w:rsidP="00985F4F">
            <w:pPr>
              <w:jc w:val="center"/>
              <w:rPr>
                <w:rFonts w:ascii="Arial" w:hAnsi="Arial" w:cs="Arial"/>
                <w:b/>
                <w:sz w:val="20"/>
                <w:szCs w:val="20"/>
              </w:rPr>
            </w:pPr>
          </w:p>
          <w:p w:rsidR="00904683" w:rsidRPr="00B13718" w:rsidRDefault="00904683" w:rsidP="00985F4F">
            <w:pPr>
              <w:jc w:val="center"/>
              <w:rPr>
                <w:rFonts w:ascii="Arial" w:hAnsi="Arial" w:cs="Arial"/>
                <w:b/>
                <w:sz w:val="20"/>
                <w:szCs w:val="20"/>
              </w:rPr>
            </w:pPr>
            <w:r>
              <w:rPr>
                <w:rFonts w:ascii="Arial" w:hAnsi="Arial" w:cs="Arial"/>
                <w:b/>
                <w:sz w:val="20"/>
                <w:szCs w:val="20"/>
              </w:rPr>
              <w:t>NA</w:t>
            </w:r>
          </w:p>
        </w:tc>
        <w:tc>
          <w:tcPr>
            <w:tcW w:w="2268" w:type="dxa"/>
            <w:tcBorders>
              <w:top w:val="single" w:sz="4" w:space="0" w:color="auto"/>
              <w:left w:val="single" w:sz="4" w:space="0" w:color="auto"/>
              <w:bottom w:val="single" w:sz="4" w:space="0" w:color="auto"/>
              <w:right w:val="single" w:sz="4" w:space="0" w:color="auto"/>
            </w:tcBorders>
          </w:tcPr>
          <w:p w:rsidR="00985F4F" w:rsidRDefault="00985F4F" w:rsidP="00985F4F">
            <w:pPr>
              <w:rPr>
                <w:rFonts w:ascii="Arial" w:hAnsi="Arial" w:cs="Arial"/>
                <w:b/>
                <w:sz w:val="20"/>
                <w:szCs w:val="20"/>
              </w:rPr>
            </w:pPr>
          </w:p>
          <w:p w:rsidR="00904683" w:rsidRDefault="00904683" w:rsidP="00985F4F">
            <w:pPr>
              <w:rPr>
                <w:rFonts w:ascii="Arial" w:hAnsi="Arial" w:cs="Arial"/>
                <w:b/>
                <w:sz w:val="20"/>
                <w:szCs w:val="20"/>
              </w:rPr>
            </w:pPr>
          </w:p>
          <w:p w:rsidR="00904683" w:rsidRDefault="00904683" w:rsidP="00985F4F">
            <w:pPr>
              <w:rPr>
                <w:rFonts w:ascii="Arial" w:hAnsi="Arial" w:cs="Arial"/>
                <w:b/>
                <w:sz w:val="20"/>
                <w:szCs w:val="20"/>
              </w:rPr>
            </w:pPr>
          </w:p>
          <w:p w:rsidR="00904683" w:rsidRDefault="00904683" w:rsidP="00985F4F">
            <w:pPr>
              <w:rPr>
                <w:rFonts w:ascii="Arial" w:hAnsi="Arial" w:cs="Arial"/>
                <w:b/>
                <w:sz w:val="20"/>
                <w:szCs w:val="20"/>
              </w:rPr>
            </w:pPr>
          </w:p>
          <w:p w:rsidR="00904683" w:rsidRPr="00B50FF9" w:rsidRDefault="00904683" w:rsidP="00985F4F">
            <w:pPr>
              <w:rPr>
                <w:rFonts w:ascii="Arial" w:hAnsi="Arial" w:cs="Arial"/>
                <w:b/>
                <w:sz w:val="20"/>
                <w:szCs w:val="20"/>
              </w:rPr>
            </w:pPr>
            <w:r>
              <w:rPr>
                <w:rFonts w:ascii="Arial" w:hAnsi="Arial" w:cs="Arial"/>
                <w:b/>
                <w:sz w:val="20"/>
                <w:szCs w:val="20"/>
              </w:rPr>
              <w:t>NA</w:t>
            </w:r>
          </w:p>
        </w:tc>
        <w:tc>
          <w:tcPr>
            <w:tcW w:w="458" w:type="dxa"/>
            <w:tcBorders>
              <w:top w:val="single" w:sz="4" w:space="0" w:color="auto"/>
              <w:left w:val="single" w:sz="4" w:space="0" w:color="auto"/>
              <w:bottom w:val="single" w:sz="4" w:space="0" w:color="auto"/>
              <w:right w:val="single" w:sz="4" w:space="0" w:color="auto"/>
            </w:tcBorders>
          </w:tcPr>
          <w:p w:rsidR="00985F4F" w:rsidRDefault="00985F4F" w:rsidP="00985F4F">
            <w:pPr>
              <w:rPr>
                <w:b/>
                <w:sz w:val="24"/>
                <w:szCs w:val="24"/>
              </w:rPr>
            </w:pPr>
          </w:p>
        </w:tc>
        <w:tc>
          <w:tcPr>
            <w:tcW w:w="458" w:type="dxa"/>
            <w:tcBorders>
              <w:top w:val="single" w:sz="4" w:space="0" w:color="auto"/>
              <w:left w:val="single" w:sz="4" w:space="0" w:color="auto"/>
              <w:bottom w:val="single" w:sz="4" w:space="0" w:color="auto"/>
              <w:right w:val="single" w:sz="4" w:space="0" w:color="auto"/>
            </w:tcBorders>
          </w:tcPr>
          <w:p w:rsidR="00985F4F" w:rsidRDefault="00985F4F" w:rsidP="00985F4F">
            <w:pPr>
              <w:rPr>
                <w:b/>
                <w:sz w:val="24"/>
                <w:szCs w:val="24"/>
              </w:rPr>
            </w:pPr>
          </w:p>
        </w:tc>
        <w:tc>
          <w:tcPr>
            <w:tcW w:w="579" w:type="dxa"/>
            <w:tcBorders>
              <w:top w:val="single" w:sz="4" w:space="0" w:color="auto"/>
              <w:left w:val="single" w:sz="4" w:space="0" w:color="auto"/>
              <w:bottom w:val="single" w:sz="4" w:space="0" w:color="auto"/>
              <w:right w:val="single" w:sz="4" w:space="0" w:color="auto"/>
            </w:tcBorders>
          </w:tcPr>
          <w:p w:rsidR="00985F4F" w:rsidRDefault="00985F4F" w:rsidP="00985F4F">
            <w:pPr>
              <w:rPr>
                <w:b/>
                <w:sz w:val="24"/>
                <w:szCs w:val="24"/>
              </w:rPr>
            </w:pPr>
          </w:p>
        </w:tc>
      </w:tr>
      <w:tr w:rsidR="00985F4F" w:rsidTr="00985F4F">
        <w:trPr>
          <w:trHeight w:val="1740"/>
        </w:trPr>
        <w:tc>
          <w:tcPr>
            <w:tcW w:w="3031"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rPr>
            </w:pPr>
            <w:r w:rsidRPr="00794246">
              <w:rPr>
                <w:rFonts w:cstheme="minorHAnsi"/>
              </w:rPr>
              <w:t xml:space="preserve">Biological hazard from blood sample spillages or contact. In particular when handling samples from patients with highly infectious diseases </w:t>
            </w:r>
            <w:proofErr w:type="spellStart"/>
            <w:r w:rsidRPr="00794246">
              <w:rPr>
                <w:rFonts w:cstheme="minorHAnsi"/>
              </w:rPr>
              <w:t>ie</w:t>
            </w:r>
            <w:proofErr w:type="spellEnd"/>
            <w:r w:rsidRPr="00794246">
              <w:rPr>
                <w:rFonts w:cstheme="minorHAnsi"/>
              </w:rPr>
              <w:t xml:space="preserve"> COVID-19. Patients in the department and staff are exposed</w:t>
            </w:r>
          </w:p>
        </w:tc>
        <w:tc>
          <w:tcPr>
            <w:tcW w:w="2747"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rPr>
            </w:pPr>
            <w:r w:rsidRPr="00794246">
              <w:rPr>
                <w:rFonts w:cstheme="minorHAnsi"/>
              </w:rPr>
              <w:t xml:space="preserve">Training is given to all staff who perform the test on how to safely handle the sample and how to pipette correctly. </w:t>
            </w:r>
          </w:p>
          <w:p w:rsidR="00985F4F" w:rsidRPr="00794246" w:rsidRDefault="00985F4F" w:rsidP="00985F4F">
            <w:pPr>
              <w:rPr>
                <w:rFonts w:cstheme="minorHAnsi"/>
              </w:rPr>
            </w:pPr>
            <w:r w:rsidRPr="00794246">
              <w:rPr>
                <w:rFonts w:cstheme="minorHAnsi"/>
              </w:rPr>
              <w:t>A rack is available to hold the sample after the lid has been removed.</w:t>
            </w:r>
          </w:p>
          <w:p w:rsidR="00985F4F" w:rsidRPr="00794246" w:rsidRDefault="00985F4F" w:rsidP="00985F4F">
            <w:pPr>
              <w:rPr>
                <w:rFonts w:cstheme="minorHAnsi"/>
              </w:rPr>
            </w:pPr>
            <w:r w:rsidRPr="00794246">
              <w:rPr>
                <w:rFonts w:cstheme="minorHAnsi"/>
              </w:rPr>
              <w:t xml:space="preserve">Centrifuge buckets have lids to contain any spillages. </w:t>
            </w:r>
          </w:p>
          <w:p w:rsidR="00985F4F" w:rsidRPr="00794246" w:rsidRDefault="00985F4F" w:rsidP="00985F4F">
            <w:pPr>
              <w:rPr>
                <w:rFonts w:cstheme="minorHAnsi"/>
              </w:rPr>
            </w:pPr>
            <w:r w:rsidRPr="00794246">
              <w:rPr>
                <w:rFonts w:cstheme="minorHAnsi"/>
              </w:rPr>
              <w:t>Samples are disposed of once a result is produced</w:t>
            </w:r>
          </w:p>
          <w:p w:rsidR="00985F4F" w:rsidRPr="00794246" w:rsidRDefault="00985F4F" w:rsidP="00985F4F">
            <w:pPr>
              <w:rPr>
                <w:rFonts w:cstheme="minorHAnsi"/>
              </w:rPr>
            </w:pPr>
            <w:r w:rsidRPr="00794246">
              <w:rPr>
                <w:rFonts w:cstheme="minorHAnsi"/>
              </w:rPr>
              <w:t>PPE available and used.</w:t>
            </w:r>
          </w:p>
          <w:p w:rsidR="00985F4F" w:rsidRPr="00794246" w:rsidRDefault="00985F4F" w:rsidP="00985F4F">
            <w:pPr>
              <w:rPr>
                <w:rFonts w:cstheme="minorHAnsi"/>
              </w:rPr>
            </w:pPr>
            <w:r w:rsidRPr="00794246">
              <w:rPr>
                <w:rFonts w:cstheme="minorHAnsi"/>
              </w:rPr>
              <w:t xml:space="preserve">Spillages of samples must be mopped up immediately and the area cleaned with </w:t>
            </w:r>
            <w:proofErr w:type="spellStart"/>
            <w:r w:rsidRPr="00794246">
              <w:rPr>
                <w:rFonts w:cstheme="minorHAnsi"/>
              </w:rPr>
              <w:t>clinel</w:t>
            </w:r>
            <w:proofErr w:type="spellEnd"/>
            <w:r w:rsidRPr="00794246">
              <w:rPr>
                <w:rFonts w:cstheme="minorHAnsi"/>
              </w:rPr>
              <w:t xml:space="preserve"> wipes.</w:t>
            </w:r>
          </w:p>
          <w:p w:rsidR="00985F4F" w:rsidRPr="00794246" w:rsidRDefault="00985F4F" w:rsidP="00985F4F">
            <w:pPr>
              <w:rPr>
                <w:rFonts w:cstheme="minorHAnsi"/>
              </w:rPr>
            </w:pPr>
            <w:r w:rsidRPr="00794246">
              <w:rPr>
                <w:rFonts w:cstheme="minorHAnsi"/>
              </w:rPr>
              <w:t>Infrequent process one – two samples a week.</w:t>
            </w:r>
          </w:p>
        </w:tc>
        <w:tc>
          <w:tcPr>
            <w:tcW w:w="439"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jc w:val="center"/>
              <w:rPr>
                <w:rFonts w:cstheme="minorHAnsi"/>
                <w:b/>
              </w:rPr>
            </w:pPr>
            <w:r w:rsidRPr="00794246">
              <w:rPr>
                <w:rFonts w:cstheme="minorHAnsi"/>
                <w:b/>
              </w:rPr>
              <w:t>3</w:t>
            </w:r>
          </w:p>
        </w:tc>
        <w:tc>
          <w:tcPr>
            <w:tcW w:w="439"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jc w:val="center"/>
              <w:rPr>
                <w:rFonts w:cstheme="minorHAnsi"/>
                <w:b/>
              </w:rPr>
            </w:pPr>
            <w:r w:rsidRPr="00794246">
              <w:rPr>
                <w:rFonts w:cstheme="minorHAnsi"/>
                <w:b/>
              </w:rPr>
              <w:t>4</w:t>
            </w:r>
          </w:p>
        </w:tc>
        <w:tc>
          <w:tcPr>
            <w:tcW w:w="550"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jc w:val="center"/>
              <w:rPr>
                <w:rFonts w:cstheme="minorHAnsi"/>
                <w:b/>
              </w:rPr>
            </w:pPr>
            <w:r w:rsidRPr="00794246">
              <w:rPr>
                <w:rFonts w:cstheme="minorHAnsi"/>
                <w:b/>
              </w:rPr>
              <w:t>8</w:t>
            </w:r>
          </w:p>
        </w:tc>
        <w:tc>
          <w:tcPr>
            <w:tcW w:w="2984"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rPr>
            </w:pPr>
            <w:r w:rsidRPr="00794246">
              <w:rPr>
                <w:rFonts w:cstheme="minorHAnsi"/>
              </w:rPr>
              <w:t xml:space="preserve">Open tubes are handled within DAU patients do pass through in close proximity to the analyser – samples from confirmed or highly suspected COVID patients will not be processed for </w:t>
            </w:r>
            <w:proofErr w:type="spellStart"/>
            <w:r w:rsidRPr="00794246">
              <w:rPr>
                <w:rFonts w:cstheme="minorHAnsi"/>
              </w:rPr>
              <w:t>PlGF</w:t>
            </w:r>
            <w:proofErr w:type="spellEnd"/>
            <w:r w:rsidRPr="00794246">
              <w:rPr>
                <w:rFonts w:cstheme="minorHAnsi"/>
              </w:rPr>
              <w:t>.</w:t>
            </w:r>
          </w:p>
          <w:p w:rsidR="00985F4F" w:rsidRPr="00794246" w:rsidRDefault="00985F4F" w:rsidP="00985F4F">
            <w:pPr>
              <w:rPr>
                <w:rFonts w:cstheme="minorHAnsi"/>
              </w:rPr>
            </w:pPr>
          </w:p>
          <w:p w:rsidR="00985F4F" w:rsidRPr="00794246" w:rsidRDefault="00985F4F" w:rsidP="00985F4F">
            <w:pPr>
              <w:rPr>
                <w:rFonts w:cstheme="minorHAnsi"/>
              </w:rPr>
            </w:pPr>
            <w:r w:rsidRPr="00794246">
              <w:rPr>
                <w:rFonts w:cstheme="minorHAnsi"/>
              </w:rPr>
              <w:t>If a breakage occurs during centrifugation the centrifuge must be immediately stopped and not opened for a further 30 minutes to reduce exposure to aerosols.</w:t>
            </w:r>
          </w:p>
          <w:p w:rsidR="00985F4F" w:rsidRPr="00794246" w:rsidRDefault="00985F4F" w:rsidP="00985F4F">
            <w:pPr>
              <w:rPr>
                <w:rFonts w:cstheme="minorHAnsi"/>
              </w:rPr>
            </w:pPr>
          </w:p>
          <w:p w:rsidR="00985F4F" w:rsidRPr="00794246" w:rsidRDefault="00985F4F" w:rsidP="00985F4F">
            <w:pP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b/>
              </w:rPr>
            </w:pPr>
          </w:p>
        </w:tc>
        <w:tc>
          <w:tcPr>
            <w:tcW w:w="458"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b/>
              </w:rPr>
            </w:pPr>
            <w:r>
              <w:rPr>
                <w:rFonts w:cstheme="minorHAnsi"/>
                <w:b/>
              </w:rPr>
              <w:t>3</w:t>
            </w:r>
          </w:p>
        </w:tc>
        <w:tc>
          <w:tcPr>
            <w:tcW w:w="458"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b/>
              </w:rPr>
            </w:pPr>
            <w:r w:rsidRPr="00794246">
              <w:rPr>
                <w:rFonts w:cstheme="minorHAnsi"/>
                <w:b/>
              </w:rPr>
              <w:t>1</w:t>
            </w:r>
          </w:p>
        </w:tc>
        <w:tc>
          <w:tcPr>
            <w:tcW w:w="579"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b/>
              </w:rPr>
            </w:pPr>
            <w:r>
              <w:rPr>
                <w:rFonts w:cstheme="minorHAnsi"/>
                <w:b/>
              </w:rPr>
              <w:t>3</w:t>
            </w:r>
          </w:p>
        </w:tc>
      </w:tr>
      <w:tr w:rsidR="00985F4F" w:rsidTr="00985F4F">
        <w:trPr>
          <w:trHeight w:val="1740"/>
        </w:trPr>
        <w:tc>
          <w:tcPr>
            <w:tcW w:w="3031"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rPr>
            </w:pPr>
            <w:r w:rsidRPr="00794246">
              <w:rPr>
                <w:rFonts w:cstheme="minorHAnsi"/>
              </w:rPr>
              <w:t>Centrifuge failure/breakdown/altered settings – unable to spin patient samples and therefore unable to analyse plasma sample.</w:t>
            </w:r>
          </w:p>
        </w:tc>
        <w:tc>
          <w:tcPr>
            <w:tcW w:w="2747"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rPr>
            </w:pPr>
            <w:r w:rsidRPr="00794246">
              <w:rPr>
                <w:rFonts w:cstheme="minorHAnsi"/>
              </w:rPr>
              <w:t>Second centrifuge available within department</w:t>
            </w:r>
          </w:p>
          <w:p w:rsidR="00985F4F" w:rsidRPr="00794246" w:rsidRDefault="00985F4F" w:rsidP="00985F4F">
            <w:pPr>
              <w:pStyle w:val="ListParagraph"/>
              <w:rPr>
                <w:rFonts w:cstheme="minorHAnsi"/>
              </w:rPr>
            </w:pPr>
          </w:p>
          <w:p w:rsidR="00985F4F" w:rsidRPr="00794246" w:rsidRDefault="00985F4F" w:rsidP="00985F4F">
            <w:pPr>
              <w:rPr>
                <w:rFonts w:cstheme="minorHAnsi"/>
              </w:rPr>
            </w:pPr>
            <w:r w:rsidRPr="00794246">
              <w:rPr>
                <w:rFonts w:cstheme="minorHAnsi"/>
              </w:rPr>
              <w:t>Staff trained to use centrifuge</w:t>
            </w:r>
          </w:p>
          <w:p w:rsidR="00985F4F" w:rsidRPr="00794246" w:rsidRDefault="00985F4F" w:rsidP="00985F4F">
            <w:pPr>
              <w:rPr>
                <w:rFonts w:cstheme="minorHAnsi"/>
              </w:rPr>
            </w:pPr>
          </w:p>
        </w:tc>
        <w:tc>
          <w:tcPr>
            <w:tcW w:w="439"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jc w:val="center"/>
              <w:rPr>
                <w:rFonts w:cstheme="minorHAnsi"/>
                <w:b/>
              </w:rPr>
            </w:pPr>
            <w:r w:rsidRPr="00794246">
              <w:rPr>
                <w:rFonts w:cstheme="minorHAnsi"/>
                <w:b/>
              </w:rPr>
              <w:t>2</w:t>
            </w:r>
          </w:p>
        </w:tc>
        <w:tc>
          <w:tcPr>
            <w:tcW w:w="439"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jc w:val="center"/>
              <w:rPr>
                <w:rFonts w:cstheme="minorHAnsi"/>
                <w:b/>
              </w:rPr>
            </w:pPr>
            <w:r w:rsidRPr="00794246">
              <w:rPr>
                <w:rFonts w:cstheme="minorHAnsi"/>
                <w:b/>
              </w:rPr>
              <w:t>2</w:t>
            </w:r>
          </w:p>
        </w:tc>
        <w:tc>
          <w:tcPr>
            <w:tcW w:w="550"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jc w:val="center"/>
              <w:rPr>
                <w:rFonts w:cstheme="minorHAnsi"/>
                <w:b/>
              </w:rPr>
            </w:pPr>
            <w:r w:rsidRPr="00794246">
              <w:rPr>
                <w:rFonts w:cstheme="minorHAnsi"/>
                <w:b/>
              </w:rPr>
              <w:t>4</w:t>
            </w:r>
          </w:p>
        </w:tc>
        <w:tc>
          <w:tcPr>
            <w:tcW w:w="2984"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rPr>
            </w:pPr>
            <w:r w:rsidRPr="00794246">
              <w:rPr>
                <w:rFonts w:cstheme="minorHAnsi"/>
              </w:rPr>
              <w:t>At a last resort the lab could be used to centrifuge samples</w:t>
            </w:r>
          </w:p>
          <w:p w:rsidR="00985F4F" w:rsidRPr="00794246" w:rsidRDefault="00985F4F" w:rsidP="00985F4F">
            <w:pPr>
              <w:rPr>
                <w:rFonts w:cstheme="minorHAnsi"/>
              </w:rPr>
            </w:pPr>
          </w:p>
          <w:p w:rsidR="00985F4F" w:rsidRPr="00794246" w:rsidRDefault="00985F4F" w:rsidP="00985F4F">
            <w:pPr>
              <w:rPr>
                <w:rFonts w:cstheme="minorHAnsi"/>
                <w:b/>
              </w:rPr>
            </w:pPr>
            <w:r w:rsidRPr="00794246">
              <w:rPr>
                <w:rFonts w:cstheme="minorHAnsi"/>
              </w:rPr>
              <w:t>Increase the number of staff trained in use of centrifuge within department</w:t>
            </w:r>
          </w:p>
        </w:tc>
        <w:tc>
          <w:tcPr>
            <w:tcW w:w="2268"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b/>
              </w:rPr>
            </w:pPr>
          </w:p>
        </w:tc>
        <w:tc>
          <w:tcPr>
            <w:tcW w:w="458"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b/>
              </w:rPr>
            </w:pPr>
            <w:r>
              <w:rPr>
                <w:rFonts w:cstheme="minorHAnsi"/>
                <w:b/>
              </w:rPr>
              <w:t>2</w:t>
            </w:r>
          </w:p>
        </w:tc>
        <w:tc>
          <w:tcPr>
            <w:tcW w:w="458"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b/>
              </w:rPr>
            </w:pPr>
            <w:r w:rsidRPr="00794246">
              <w:rPr>
                <w:rFonts w:cstheme="minorHAnsi"/>
                <w:b/>
              </w:rPr>
              <w:t>1</w:t>
            </w:r>
          </w:p>
        </w:tc>
        <w:tc>
          <w:tcPr>
            <w:tcW w:w="579" w:type="dxa"/>
            <w:tcBorders>
              <w:top w:val="single" w:sz="4" w:space="0" w:color="auto"/>
              <w:left w:val="single" w:sz="4" w:space="0" w:color="auto"/>
              <w:bottom w:val="single" w:sz="4" w:space="0" w:color="auto"/>
              <w:right w:val="single" w:sz="4" w:space="0" w:color="auto"/>
            </w:tcBorders>
          </w:tcPr>
          <w:p w:rsidR="00985F4F" w:rsidRDefault="00985F4F" w:rsidP="00985F4F">
            <w:pPr>
              <w:rPr>
                <w:rFonts w:cstheme="minorHAnsi"/>
                <w:b/>
              </w:rPr>
            </w:pPr>
            <w:r>
              <w:rPr>
                <w:rFonts w:cstheme="minorHAnsi"/>
                <w:b/>
              </w:rPr>
              <w:t>2</w:t>
            </w:r>
          </w:p>
        </w:tc>
      </w:tr>
      <w:tr w:rsidR="00985F4F" w:rsidTr="00985F4F">
        <w:trPr>
          <w:trHeight w:val="1740"/>
        </w:trPr>
        <w:tc>
          <w:tcPr>
            <w:tcW w:w="3031"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rPr>
            </w:pPr>
            <w:r w:rsidRPr="00794246">
              <w:rPr>
                <w:rFonts w:cstheme="minorHAnsi"/>
              </w:rPr>
              <w:t>Fridges</w:t>
            </w:r>
          </w:p>
          <w:p w:rsidR="00985F4F" w:rsidRPr="00794246" w:rsidRDefault="00985F4F" w:rsidP="00985F4F">
            <w:pPr>
              <w:rPr>
                <w:rFonts w:cstheme="minorHAnsi"/>
              </w:rPr>
            </w:pPr>
            <w:r w:rsidRPr="00794246">
              <w:rPr>
                <w:rFonts w:cstheme="minorHAnsi"/>
              </w:rPr>
              <w:t>If the fridges fail/breakdown/need defrosting – the quality of the cartridges will deteriorate (7 days)</w:t>
            </w:r>
          </w:p>
        </w:tc>
        <w:tc>
          <w:tcPr>
            <w:tcW w:w="2747"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rPr>
            </w:pPr>
            <w:r w:rsidRPr="00794246">
              <w:rPr>
                <w:rFonts w:cstheme="minorHAnsi"/>
              </w:rPr>
              <w:t>Alarms on fridge if too warm/cold</w:t>
            </w:r>
          </w:p>
          <w:p w:rsidR="00985F4F" w:rsidRPr="00794246" w:rsidRDefault="00985F4F" w:rsidP="00985F4F">
            <w:pPr>
              <w:rPr>
                <w:rFonts w:cstheme="minorHAnsi"/>
              </w:rPr>
            </w:pPr>
          </w:p>
          <w:p w:rsidR="00985F4F" w:rsidRPr="00794246" w:rsidRDefault="00985F4F" w:rsidP="00985F4F">
            <w:pPr>
              <w:rPr>
                <w:rFonts w:cstheme="minorHAnsi"/>
              </w:rPr>
            </w:pPr>
            <w:r w:rsidRPr="00794246">
              <w:rPr>
                <w:rFonts w:cstheme="minorHAnsi"/>
              </w:rPr>
              <w:t>Temp monitored regularly to spot failing fridge</w:t>
            </w:r>
          </w:p>
          <w:p w:rsidR="00985F4F" w:rsidRPr="00794246" w:rsidRDefault="00985F4F" w:rsidP="00985F4F">
            <w:pPr>
              <w:rPr>
                <w:rFonts w:cstheme="minorHAnsi"/>
              </w:rPr>
            </w:pPr>
          </w:p>
          <w:p w:rsidR="00985F4F" w:rsidRPr="00794246" w:rsidRDefault="00985F4F" w:rsidP="00985F4F">
            <w:pPr>
              <w:rPr>
                <w:rFonts w:cstheme="minorHAnsi"/>
              </w:rPr>
            </w:pPr>
            <w:r w:rsidRPr="00794246">
              <w:rPr>
                <w:rFonts w:cstheme="minorHAnsi"/>
              </w:rPr>
              <w:t>Cartridges can be put into fridge on BBC/ward area</w:t>
            </w:r>
          </w:p>
          <w:p w:rsidR="00985F4F" w:rsidRPr="00794246" w:rsidRDefault="00985F4F" w:rsidP="00985F4F">
            <w:pPr>
              <w:rPr>
                <w:rFonts w:cstheme="minorHAnsi"/>
              </w:rPr>
            </w:pPr>
          </w:p>
          <w:p w:rsidR="00985F4F" w:rsidRPr="00794246" w:rsidRDefault="00985F4F" w:rsidP="00985F4F">
            <w:pPr>
              <w:rPr>
                <w:rFonts w:cstheme="minorHAnsi"/>
              </w:rPr>
            </w:pPr>
            <w:r w:rsidRPr="00794246">
              <w:rPr>
                <w:rFonts w:cstheme="minorHAnsi"/>
              </w:rPr>
              <w:t>Fridges are regularly defrosted</w:t>
            </w:r>
          </w:p>
          <w:p w:rsidR="00985F4F" w:rsidRPr="00794246" w:rsidRDefault="00985F4F" w:rsidP="00985F4F">
            <w:pPr>
              <w:rPr>
                <w:rFonts w:cstheme="minorHAnsi"/>
              </w:rPr>
            </w:pPr>
          </w:p>
        </w:tc>
        <w:tc>
          <w:tcPr>
            <w:tcW w:w="439"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b/>
              </w:rPr>
            </w:pPr>
            <w:r w:rsidRPr="00794246">
              <w:rPr>
                <w:rFonts w:cstheme="minorHAnsi"/>
                <w:b/>
              </w:rPr>
              <w:t>2</w:t>
            </w:r>
          </w:p>
        </w:tc>
        <w:tc>
          <w:tcPr>
            <w:tcW w:w="439"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jc w:val="center"/>
              <w:rPr>
                <w:rFonts w:cstheme="minorHAnsi"/>
                <w:b/>
              </w:rPr>
            </w:pPr>
            <w:r w:rsidRPr="00794246">
              <w:rPr>
                <w:rFonts w:cstheme="minorHAnsi"/>
                <w:b/>
              </w:rPr>
              <w:t>2</w:t>
            </w:r>
          </w:p>
        </w:tc>
        <w:tc>
          <w:tcPr>
            <w:tcW w:w="550"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jc w:val="center"/>
              <w:rPr>
                <w:rFonts w:cstheme="minorHAnsi"/>
                <w:b/>
              </w:rPr>
            </w:pPr>
            <w:r w:rsidRPr="00794246">
              <w:rPr>
                <w:rFonts w:cstheme="minorHAnsi"/>
                <w:b/>
              </w:rPr>
              <w:t>4</w:t>
            </w:r>
          </w:p>
        </w:tc>
        <w:tc>
          <w:tcPr>
            <w:tcW w:w="2984" w:type="dxa"/>
            <w:tcBorders>
              <w:top w:val="single" w:sz="4" w:space="0" w:color="auto"/>
              <w:left w:val="single" w:sz="4" w:space="0" w:color="auto"/>
              <w:bottom w:val="single" w:sz="4" w:space="0" w:color="auto"/>
              <w:right w:val="single" w:sz="4" w:space="0" w:color="auto"/>
            </w:tcBorders>
          </w:tcPr>
          <w:p w:rsidR="00985F4F" w:rsidRPr="00794246" w:rsidRDefault="00985F4F" w:rsidP="00985F4F">
            <w:pPr>
              <w:rPr>
                <w:rFonts w:cstheme="minorHAnsi"/>
                <w:b/>
              </w:rPr>
            </w:pPr>
          </w:p>
        </w:tc>
        <w:tc>
          <w:tcPr>
            <w:tcW w:w="2268" w:type="dxa"/>
            <w:tcBorders>
              <w:top w:val="single" w:sz="4" w:space="0" w:color="auto"/>
              <w:left w:val="single" w:sz="4" w:space="0" w:color="auto"/>
              <w:bottom w:val="single" w:sz="4" w:space="0" w:color="auto"/>
              <w:right w:val="single" w:sz="4" w:space="0" w:color="auto"/>
            </w:tcBorders>
          </w:tcPr>
          <w:p w:rsidR="00985F4F" w:rsidRDefault="00985F4F" w:rsidP="00985F4F">
            <w:pPr>
              <w:rPr>
                <w:b/>
                <w:sz w:val="24"/>
                <w:szCs w:val="24"/>
              </w:rPr>
            </w:pPr>
          </w:p>
        </w:tc>
        <w:tc>
          <w:tcPr>
            <w:tcW w:w="458" w:type="dxa"/>
            <w:tcBorders>
              <w:top w:val="single" w:sz="4" w:space="0" w:color="auto"/>
              <w:left w:val="single" w:sz="4" w:space="0" w:color="auto"/>
              <w:bottom w:val="single" w:sz="4" w:space="0" w:color="auto"/>
              <w:right w:val="single" w:sz="4" w:space="0" w:color="auto"/>
            </w:tcBorders>
          </w:tcPr>
          <w:p w:rsidR="00985F4F" w:rsidRDefault="00985F4F" w:rsidP="00985F4F">
            <w:pPr>
              <w:rPr>
                <w:b/>
                <w:sz w:val="24"/>
                <w:szCs w:val="24"/>
              </w:rPr>
            </w:pPr>
          </w:p>
        </w:tc>
        <w:tc>
          <w:tcPr>
            <w:tcW w:w="458" w:type="dxa"/>
            <w:tcBorders>
              <w:top w:val="single" w:sz="4" w:space="0" w:color="auto"/>
              <w:left w:val="single" w:sz="4" w:space="0" w:color="auto"/>
              <w:bottom w:val="single" w:sz="4" w:space="0" w:color="auto"/>
              <w:right w:val="single" w:sz="4" w:space="0" w:color="auto"/>
            </w:tcBorders>
          </w:tcPr>
          <w:p w:rsidR="00985F4F" w:rsidRDefault="00985F4F" w:rsidP="00985F4F">
            <w:pPr>
              <w:rPr>
                <w:b/>
                <w:sz w:val="24"/>
                <w:szCs w:val="24"/>
              </w:rPr>
            </w:pPr>
          </w:p>
        </w:tc>
        <w:tc>
          <w:tcPr>
            <w:tcW w:w="579" w:type="dxa"/>
            <w:tcBorders>
              <w:top w:val="single" w:sz="4" w:space="0" w:color="auto"/>
              <w:left w:val="single" w:sz="4" w:space="0" w:color="auto"/>
              <w:bottom w:val="single" w:sz="4" w:space="0" w:color="auto"/>
              <w:right w:val="single" w:sz="4" w:space="0" w:color="auto"/>
            </w:tcBorders>
          </w:tcPr>
          <w:p w:rsidR="00985F4F" w:rsidRDefault="00985F4F" w:rsidP="00985F4F">
            <w:pPr>
              <w:rPr>
                <w:rFonts w:cstheme="minorHAnsi"/>
                <w:b/>
              </w:rPr>
            </w:pPr>
          </w:p>
        </w:tc>
      </w:tr>
      <w:tr w:rsidR="00985F4F" w:rsidTr="00985F4F">
        <w:trPr>
          <w:trHeight w:val="1740"/>
        </w:trPr>
        <w:tc>
          <w:tcPr>
            <w:tcW w:w="3031" w:type="dxa"/>
            <w:tcBorders>
              <w:top w:val="single" w:sz="4" w:space="0" w:color="auto"/>
              <w:left w:val="single" w:sz="4" w:space="0" w:color="auto"/>
              <w:bottom w:val="single" w:sz="4" w:space="0" w:color="auto"/>
              <w:right w:val="single" w:sz="4" w:space="0" w:color="auto"/>
            </w:tcBorders>
          </w:tcPr>
          <w:p w:rsidR="00985F4F" w:rsidRDefault="00985F4F" w:rsidP="00985F4F">
            <w:pPr>
              <w:rPr>
                <w:rFonts w:ascii="Arial" w:hAnsi="Arial" w:cs="Arial"/>
                <w:sz w:val="20"/>
                <w:szCs w:val="20"/>
              </w:rPr>
            </w:pPr>
            <w:r>
              <w:rPr>
                <w:rFonts w:ascii="Arial" w:hAnsi="Arial" w:cs="Arial"/>
                <w:sz w:val="20"/>
                <w:szCs w:val="20"/>
              </w:rPr>
              <w:t xml:space="preserve">Electrocution hazard </w:t>
            </w:r>
          </w:p>
          <w:p w:rsidR="00985F4F" w:rsidRDefault="00985F4F" w:rsidP="00985F4F">
            <w:pPr>
              <w:rPr>
                <w:rFonts w:ascii="Arial" w:hAnsi="Arial" w:cs="Arial"/>
                <w:sz w:val="20"/>
                <w:szCs w:val="20"/>
              </w:rPr>
            </w:pPr>
          </w:p>
        </w:tc>
        <w:tc>
          <w:tcPr>
            <w:tcW w:w="2747" w:type="dxa"/>
            <w:tcBorders>
              <w:top w:val="single" w:sz="4" w:space="0" w:color="auto"/>
              <w:left w:val="single" w:sz="4" w:space="0" w:color="auto"/>
              <w:bottom w:val="single" w:sz="4" w:space="0" w:color="auto"/>
              <w:right w:val="single" w:sz="4" w:space="0" w:color="auto"/>
            </w:tcBorders>
          </w:tcPr>
          <w:p w:rsidR="00985F4F" w:rsidRDefault="00985F4F" w:rsidP="00985F4F">
            <w:pPr>
              <w:rPr>
                <w:rFonts w:ascii="Arial" w:hAnsi="Arial" w:cs="Arial"/>
                <w:sz w:val="20"/>
                <w:szCs w:val="20"/>
              </w:rPr>
            </w:pPr>
            <w:r>
              <w:rPr>
                <w:rFonts w:ascii="Arial" w:hAnsi="Arial" w:cs="Arial"/>
                <w:sz w:val="20"/>
                <w:szCs w:val="20"/>
              </w:rPr>
              <w:t>New equipment will have a certificate of conformity then yearly PAT testing done on department.</w:t>
            </w:r>
          </w:p>
          <w:p w:rsidR="00985F4F" w:rsidRDefault="00985F4F" w:rsidP="00985F4F">
            <w:pPr>
              <w:rPr>
                <w:rFonts w:ascii="Arial" w:hAnsi="Arial" w:cs="Arial"/>
                <w:sz w:val="20"/>
                <w:szCs w:val="20"/>
              </w:rPr>
            </w:pPr>
          </w:p>
        </w:tc>
        <w:tc>
          <w:tcPr>
            <w:tcW w:w="439" w:type="dxa"/>
            <w:tcBorders>
              <w:top w:val="single" w:sz="4" w:space="0" w:color="auto"/>
              <w:left w:val="single" w:sz="4" w:space="0" w:color="auto"/>
              <w:bottom w:val="single" w:sz="4" w:space="0" w:color="auto"/>
              <w:right w:val="single" w:sz="4" w:space="0" w:color="auto"/>
            </w:tcBorders>
          </w:tcPr>
          <w:p w:rsidR="00985F4F" w:rsidRDefault="00985F4F" w:rsidP="00985F4F">
            <w:pPr>
              <w:jc w:val="center"/>
              <w:rPr>
                <w:rFonts w:ascii="Arial" w:hAnsi="Arial" w:cs="Arial"/>
                <w:b/>
                <w:sz w:val="20"/>
                <w:szCs w:val="20"/>
              </w:rPr>
            </w:pPr>
          </w:p>
          <w:p w:rsidR="00985F4F" w:rsidRPr="00976391" w:rsidRDefault="00985F4F" w:rsidP="00985F4F">
            <w:pPr>
              <w:jc w:val="center"/>
              <w:rPr>
                <w:rFonts w:ascii="Arial" w:hAnsi="Arial" w:cs="Arial"/>
                <w:b/>
                <w:sz w:val="20"/>
                <w:szCs w:val="20"/>
              </w:rPr>
            </w:pPr>
            <w:r>
              <w:rPr>
                <w:rFonts w:ascii="Arial" w:hAnsi="Arial" w:cs="Arial"/>
                <w:b/>
                <w:sz w:val="20"/>
                <w:szCs w:val="20"/>
              </w:rPr>
              <w:t>1</w:t>
            </w:r>
          </w:p>
        </w:tc>
        <w:tc>
          <w:tcPr>
            <w:tcW w:w="439" w:type="dxa"/>
            <w:tcBorders>
              <w:top w:val="single" w:sz="4" w:space="0" w:color="auto"/>
              <w:left w:val="single" w:sz="4" w:space="0" w:color="auto"/>
              <w:bottom w:val="single" w:sz="4" w:space="0" w:color="auto"/>
              <w:right w:val="single" w:sz="4" w:space="0" w:color="auto"/>
            </w:tcBorders>
          </w:tcPr>
          <w:p w:rsidR="00985F4F" w:rsidRDefault="00985F4F" w:rsidP="00985F4F">
            <w:pPr>
              <w:jc w:val="center"/>
              <w:rPr>
                <w:rFonts w:ascii="Arial" w:hAnsi="Arial" w:cs="Arial"/>
                <w:b/>
                <w:sz w:val="20"/>
                <w:szCs w:val="20"/>
              </w:rPr>
            </w:pPr>
          </w:p>
          <w:p w:rsidR="00985F4F" w:rsidRPr="00976391" w:rsidRDefault="00985F4F" w:rsidP="00985F4F">
            <w:pPr>
              <w:jc w:val="center"/>
              <w:rPr>
                <w:rFonts w:ascii="Arial" w:hAnsi="Arial" w:cs="Arial"/>
                <w:b/>
                <w:sz w:val="20"/>
                <w:szCs w:val="20"/>
              </w:rPr>
            </w:pPr>
            <w:r>
              <w:rPr>
                <w:rFonts w:ascii="Arial" w:hAnsi="Arial" w:cs="Arial"/>
                <w:b/>
                <w:sz w:val="20"/>
                <w:szCs w:val="20"/>
              </w:rPr>
              <w:t>2</w:t>
            </w:r>
          </w:p>
        </w:tc>
        <w:tc>
          <w:tcPr>
            <w:tcW w:w="550" w:type="dxa"/>
            <w:tcBorders>
              <w:top w:val="single" w:sz="4" w:space="0" w:color="auto"/>
              <w:left w:val="single" w:sz="4" w:space="0" w:color="auto"/>
              <w:bottom w:val="single" w:sz="4" w:space="0" w:color="auto"/>
              <w:right w:val="single" w:sz="4" w:space="0" w:color="auto"/>
            </w:tcBorders>
          </w:tcPr>
          <w:p w:rsidR="00985F4F" w:rsidRDefault="00985F4F" w:rsidP="00985F4F">
            <w:pPr>
              <w:jc w:val="center"/>
              <w:rPr>
                <w:rFonts w:ascii="Arial" w:hAnsi="Arial" w:cs="Arial"/>
                <w:b/>
                <w:sz w:val="20"/>
                <w:szCs w:val="20"/>
              </w:rPr>
            </w:pPr>
          </w:p>
          <w:p w:rsidR="00985F4F" w:rsidRPr="00976391" w:rsidRDefault="00985F4F" w:rsidP="00985F4F">
            <w:pPr>
              <w:jc w:val="center"/>
              <w:rPr>
                <w:rFonts w:ascii="Arial" w:hAnsi="Arial" w:cs="Arial"/>
                <w:b/>
                <w:sz w:val="20"/>
                <w:szCs w:val="20"/>
              </w:rPr>
            </w:pPr>
            <w:r>
              <w:rPr>
                <w:rFonts w:ascii="Arial" w:hAnsi="Arial" w:cs="Arial"/>
                <w:b/>
                <w:sz w:val="20"/>
                <w:szCs w:val="20"/>
              </w:rPr>
              <w:t>3</w:t>
            </w:r>
          </w:p>
        </w:tc>
        <w:tc>
          <w:tcPr>
            <w:tcW w:w="2984" w:type="dxa"/>
            <w:tcBorders>
              <w:top w:val="single" w:sz="4" w:space="0" w:color="auto"/>
              <w:left w:val="single" w:sz="4" w:space="0" w:color="auto"/>
              <w:bottom w:val="single" w:sz="4" w:space="0" w:color="auto"/>
              <w:right w:val="single" w:sz="4" w:space="0" w:color="auto"/>
            </w:tcBorders>
          </w:tcPr>
          <w:p w:rsidR="00985F4F" w:rsidRPr="00976391" w:rsidRDefault="00985F4F" w:rsidP="00985F4F">
            <w:pP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85F4F" w:rsidRDefault="00985F4F" w:rsidP="00985F4F">
            <w:pPr>
              <w:rPr>
                <w:b/>
                <w:sz w:val="24"/>
                <w:szCs w:val="24"/>
              </w:rPr>
            </w:pPr>
          </w:p>
        </w:tc>
        <w:tc>
          <w:tcPr>
            <w:tcW w:w="458" w:type="dxa"/>
            <w:tcBorders>
              <w:top w:val="single" w:sz="4" w:space="0" w:color="auto"/>
              <w:left w:val="single" w:sz="4" w:space="0" w:color="auto"/>
              <w:bottom w:val="single" w:sz="4" w:space="0" w:color="auto"/>
              <w:right w:val="single" w:sz="4" w:space="0" w:color="auto"/>
            </w:tcBorders>
          </w:tcPr>
          <w:p w:rsidR="00985F4F" w:rsidRDefault="00985F4F" w:rsidP="00985F4F">
            <w:pPr>
              <w:rPr>
                <w:b/>
                <w:sz w:val="24"/>
                <w:szCs w:val="24"/>
              </w:rPr>
            </w:pPr>
          </w:p>
        </w:tc>
        <w:tc>
          <w:tcPr>
            <w:tcW w:w="458" w:type="dxa"/>
            <w:tcBorders>
              <w:top w:val="single" w:sz="4" w:space="0" w:color="auto"/>
              <w:left w:val="single" w:sz="4" w:space="0" w:color="auto"/>
              <w:bottom w:val="single" w:sz="4" w:space="0" w:color="auto"/>
              <w:right w:val="single" w:sz="4" w:space="0" w:color="auto"/>
            </w:tcBorders>
          </w:tcPr>
          <w:p w:rsidR="00985F4F" w:rsidRDefault="00985F4F" w:rsidP="00985F4F">
            <w:pPr>
              <w:rPr>
                <w:b/>
                <w:sz w:val="24"/>
                <w:szCs w:val="24"/>
              </w:rPr>
            </w:pPr>
          </w:p>
        </w:tc>
        <w:tc>
          <w:tcPr>
            <w:tcW w:w="579" w:type="dxa"/>
            <w:tcBorders>
              <w:top w:val="single" w:sz="4" w:space="0" w:color="auto"/>
              <w:left w:val="single" w:sz="4" w:space="0" w:color="auto"/>
              <w:bottom w:val="single" w:sz="4" w:space="0" w:color="auto"/>
              <w:right w:val="single" w:sz="4" w:space="0" w:color="auto"/>
            </w:tcBorders>
          </w:tcPr>
          <w:p w:rsidR="00985F4F" w:rsidRDefault="00985F4F" w:rsidP="00985F4F">
            <w:pPr>
              <w:rPr>
                <w:rFonts w:cstheme="minorHAnsi"/>
                <w:b/>
              </w:rPr>
            </w:pPr>
          </w:p>
        </w:tc>
      </w:tr>
    </w:tbl>
    <w:p w:rsidR="00A83620" w:rsidRPr="00E15821" w:rsidRDefault="00A83620" w:rsidP="00A83620">
      <w:pPr>
        <w:rPr>
          <w:rFonts w:ascii="Arial" w:hAnsi="Arial" w:cs="Arial"/>
          <w:b/>
          <w:sz w:val="24"/>
          <w:szCs w:val="24"/>
        </w:rPr>
      </w:pPr>
    </w:p>
    <w:p w:rsidR="00326A78" w:rsidRPr="00E15821" w:rsidRDefault="00326A78" w:rsidP="00A83620">
      <w:pPr>
        <w:rPr>
          <w:rFonts w:ascii="Arial" w:hAnsi="Arial" w:cs="Arial"/>
          <w:b/>
          <w:sz w:val="24"/>
          <w:szCs w:val="24"/>
        </w:rPr>
        <w:sectPr w:rsidR="00326A78" w:rsidRPr="00E15821" w:rsidSect="004E0EE7">
          <w:headerReference w:type="default" r:id="rId8"/>
          <w:footerReference w:type="default" r:id="rId9"/>
          <w:pgSz w:w="16838" w:h="11906" w:orient="landscape"/>
          <w:pgMar w:top="1440" w:right="1440" w:bottom="1440" w:left="1440" w:header="284" w:footer="708" w:gutter="0"/>
          <w:cols w:space="708"/>
          <w:docGrid w:linePitch="360"/>
        </w:sectPr>
      </w:pPr>
    </w:p>
    <w:p w:rsidR="00326A78" w:rsidRPr="00E15821" w:rsidRDefault="00326A78" w:rsidP="00326A78">
      <w:pPr>
        <w:keepNext/>
        <w:shd w:val="solid" w:color="auto" w:fill="FFFFFF"/>
        <w:spacing w:after="0" w:line="240" w:lineRule="auto"/>
        <w:outlineLvl w:val="0"/>
        <w:rPr>
          <w:rFonts w:ascii="Arial" w:eastAsia="Times New Roman" w:hAnsi="Arial" w:cs="Arial"/>
          <w:b/>
          <w:bCs/>
          <w:sz w:val="24"/>
          <w:szCs w:val="24"/>
        </w:rPr>
      </w:pPr>
      <w:bookmarkStart w:id="0" w:name="_Toc274059160"/>
      <w:r w:rsidRPr="00E15821">
        <w:rPr>
          <w:rFonts w:ascii="Arial" w:eastAsia="Times New Roman" w:hAnsi="Arial" w:cs="Arial"/>
          <w:b/>
          <w:bCs/>
          <w:sz w:val="24"/>
          <w:szCs w:val="24"/>
        </w:rPr>
        <w:t>Risk assessment matrix</w:t>
      </w:r>
      <w:bookmarkEnd w:id="0"/>
    </w:p>
    <w:p w:rsidR="00326A78" w:rsidRPr="00E15821" w:rsidRDefault="00326A78" w:rsidP="00326A78">
      <w:pPr>
        <w:autoSpaceDE w:val="0"/>
        <w:autoSpaceDN w:val="0"/>
        <w:adjustRightInd w:val="0"/>
        <w:spacing w:after="0" w:line="240" w:lineRule="auto"/>
        <w:rPr>
          <w:rFonts w:ascii="Arial" w:eastAsia="Times New Roman" w:hAnsi="Arial" w:cs="Arial"/>
          <w:b/>
          <w:bCs/>
          <w:sz w:val="24"/>
          <w:szCs w:val="20"/>
          <w:lang w:eastAsia="en-GB"/>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Acceptable Risk</w:t>
      </w:r>
    </w:p>
    <w:p w:rsidR="00326A78" w:rsidRPr="004E0EE7" w:rsidRDefault="00326A78" w:rsidP="00326A78">
      <w:p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Risk is tolerable as long as it is well managed and controlled.  In addition to identified hazards, all incidents claims and complaints will be risk assessed according to the following process and investigated according to the severity or the consequence and likelihood of (re)occurrence.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197D59"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197D59">
        <w:rPr>
          <w:rFonts w:ascii="Arial" w:eastAsia="Times New Roman" w:hAnsi="Arial" w:cs="Arial"/>
          <w:b/>
          <w:bCs/>
          <w:sz w:val="24"/>
          <w:szCs w:val="20"/>
          <w:lang w:eastAsia="en-GB"/>
        </w:rPr>
        <w:t>All Risk Assessments within the Trust will identify:</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 xml:space="preserve">The hazards within the Task/ area being assessed inherent in the work undertaken </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who and how many people would be affected</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often specific events are likely to happen (may be based on frequency of previous occurrence):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severe the effect or consequence would be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controllable the hazards are.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r w:rsidRPr="0036344A">
        <w:rPr>
          <w:rFonts w:ascii="Arial" w:eastAsia="Times New Roman" w:hAnsi="Arial" w:cs="Arial"/>
          <w:szCs w:val="20"/>
          <w:lang w:eastAsia="en-GB"/>
        </w:rPr>
        <w:t>Acceptable risk will be determined using the following traffic light system:</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4E0EE7" w:rsidRDefault="00326A78" w:rsidP="00326A78">
      <w:pPr>
        <w:spacing w:after="0" w:line="240" w:lineRule="auto"/>
        <w:rPr>
          <w:rFonts w:ascii="Arial" w:eastAsia="Times New Roman" w:hAnsi="Arial" w:cs="Arial"/>
          <w:b/>
          <w:sz w:val="24"/>
          <w:szCs w:val="20"/>
          <w:u w:val="single"/>
        </w:rPr>
      </w:pPr>
      <w:r w:rsidRPr="004E0EE7">
        <w:rPr>
          <w:rFonts w:ascii="Arial" w:eastAsia="Times New Roman" w:hAnsi="Arial" w:cs="Arial"/>
          <w:b/>
          <w:sz w:val="24"/>
          <w:szCs w:val="20"/>
          <w:u w:val="single"/>
        </w:rPr>
        <w:t>Severity/consequence</w:t>
      </w:r>
    </w:p>
    <w:p w:rsidR="00326A78" w:rsidRPr="0036344A" w:rsidRDefault="00326A78" w:rsidP="00326A78">
      <w:pPr>
        <w:spacing w:after="120" w:line="240" w:lineRule="auto"/>
        <w:rPr>
          <w:rFonts w:ascii="Arial" w:eastAsia="Times New Roman" w:hAnsi="Arial" w:cs="Arial"/>
          <w:szCs w:val="20"/>
        </w:rPr>
      </w:pPr>
      <w:r w:rsidRPr="0036344A">
        <w:rPr>
          <w:rFonts w:ascii="Arial" w:eastAsia="Times New Roman" w:hAnsi="Arial" w:cs="Arial"/>
          <w:szCs w:val="20"/>
        </w:rPr>
        <w:t>Given the (in) adequacy of the control measures, how serious the consequences are likely to be for the group, patient or Trust if the risk does occur (using the matrix).</w:t>
      </w:r>
    </w:p>
    <w:tbl>
      <w:tblPr>
        <w:tblW w:w="10026" w:type="dxa"/>
        <w:tblLayout w:type="fixed"/>
        <w:tblLook w:val="0000" w:firstRow="0" w:lastRow="0" w:firstColumn="0" w:lastColumn="0" w:noHBand="0" w:noVBand="0"/>
      </w:tblPr>
      <w:tblGrid>
        <w:gridCol w:w="1875"/>
        <w:gridCol w:w="1482"/>
        <w:gridCol w:w="1701"/>
        <w:gridCol w:w="1776"/>
        <w:gridCol w:w="1526"/>
        <w:gridCol w:w="1666"/>
      </w:tblGrid>
      <w:tr w:rsidR="00326A78" w:rsidRPr="00E15821" w:rsidTr="00F0722B">
        <w:trPr>
          <w:trHeight w:val="45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tc>
        <w:tc>
          <w:tcPr>
            <w:tcW w:w="8151" w:type="dxa"/>
            <w:gridSpan w:val="5"/>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Consequence score (severity levels) and examples of descriptors </w:t>
            </w:r>
          </w:p>
        </w:tc>
      </w:tr>
      <w:tr w:rsidR="00326A78" w:rsidRPr="00E15821" w:rsidTr="00F0722B">
        <w:trPr>
          <w:trHeight w:val="283"/>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5</w:t>
            </w:r>
          </w:p>
        </w:tc>
      </w:tr>
      <w:tr w:rsidR="00326A78" w:rsidRPr="00E15821" w:rsidTr="00F0722B">
        <w:trPr>
          <w:trHeight w:val="268"/>
        </w:trPr>
        <w:tc>
          <w:tcPr>
            <w:tcW w:w="1875"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Domains</w:t>
            </w: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Minor</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Moderate</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Major</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Catastrophic</w:t>
            </w:r>
          </w:p>
        </w:tc>
      </w:tr>
      <w:tr w:rsidR="00326A78" w:rsidRPr="00E15821" w:rsidTr="00F0722B">
        <w:trPr>
          <w:trHeight w:val="1903"/>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Impact on the safety of patients, staff or public (physical/</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psychological harm)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injury requiring no/minimal intervention or treatment.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No time off work</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injury or illness, requiring minor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DD6BE9" w:rsidP="00F0722B">
            <w:pPr>
              <w:widowControl w:val="0"/>
              <w:autoSpaceDE w:val="0"/>
              <w:autoSpaceDN w:val="0"/>
              <w:adjustRightInd w:val="0"/>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Requiring time </w:t>
            </w:r>
            <w:r w:rsidR="006C7014">
              <w:rPr>
                <w:rFonts w:ascii="Arial" w:eastAsia="Times New Roman" w:hAnsi="Arial" w:cs="Arial"/>
                <w:sz w:val="16"/>
                <w:szCs w:val="16"/>
                <w:lang w:val="en-US"/>
              </w:rPr>
              <w:t xml:space="preserve">off work for </w:t>
            </w:r>
            <w:r w:rsidR="006C7014">
              <w:t>≤</w:t>
            </w:r>
            <w:r w:rsidR="00326A78" w:rsidRPr="00E15821">
              <w:rPr>
                <w:rFonts w:ascii="Arial" w:eastAsia="Times New Roman" w:hAnsi="Arial" w:cs="Arial"/>
                <w:sz w:val="16"/>
                <w:szCs w:val="16"/>
                <w:lang w:val="en-US"/>
              </w:rPr>
              <w:t xml:space="preserve">3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1-3 days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injury  requiring professional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4-14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4-15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RIDDOR/agency reportable incident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An event which impacts on a small number of patients</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injury leading to long-term incapacity/ disability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&gt;14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&gt;15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to death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Multiple permanent injuries or irreversible health effects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An event which impacts on a large number of patients </w:t>
            </w:r>
          </w:p>
        </w:tc>
      </w:tr>
      <w:tr w:rsidR="00326A78" w:rsidRPr="00E15821" w:rsidTr="00F0722B">
        <w:trPr>
          <w:trHeight w:val="170"/>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Quality/complaints/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audit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Peripheral element of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Overall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1)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implications for patient safety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Treatment or service has significantly reduced effectiveness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2) complaint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(with potential to go to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Repeated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patient safety implications if findings are not acted on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Non-compliance with national standards with significant risk to patients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complaints/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Totally unacceptable level or quality of treatment/service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of patient safety if findings not acted 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Inquest/ombudsman inquiry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to meet national standards </w:t>
            </w:r>
          </w:p>
        </w:tc>
      </w:tr>
      <w:tr w:rsidR="00326A78" w:rsidRPr="00E15821" w:rsidTr="00F0722B">
        <w:trPr>
          <w:cantSplit/>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Human resources/ </w:t>
            </w:r>
            <w:proofErr w:type="spellStart"/>
            <w:r w:rsidRPr="00E15821">
              <w:rPr>
                <w:rFonts w:ascii="Arial" w:eastAsia="Times New Roman" w:hAnsi="Arial" w:cs="Arial"/>
                <w:b/>
                <w:sz w:val="16"/>
                <w:szCs w:val="16"/>
                <w:lang w:val="en-US"/>
              </w:rPr>
              <w:t>organisational</w:t>
            </w:r>
            <w:proofErr w:type="spellEnd"/>
            <w:r w:rsidRPr="00E15821">
              <w:rPr>
                <w:rFonts w:ascii="Arial" w:eastAsia="Times New Roman" w:hAnsi="Arial" w:cs="Arial"/>
                <w:b/>
                <w:sz w:val="16"/>
                <w:szCs w:val="16"/>
                <w:lang w:val="en-US"/>
              </w:rPr>
              <w:t xml:space="preserve"> development/ staffing/ competence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low staffing level that temporarily reduces service quality (&lt; 1 day)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staffing level that reduces the service quality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Late delivery of key objective/ 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Poor staff attendance for mandatory/key training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Very 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key training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Ongoing unsafe staffing levels or competence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several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training /key training on an ongoing basis </w:t>
            </w:r>
          </w:p>
        </w:tc>
      </w:tr>
      <w:tr w:rsidR="00326A78" w:rsidRPr="00E15821" w:rsidTr="00F0722B">
        <w:trPr>
          <w:trHeight w:val="138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Statutory duty/ inspections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Breach of statutory legislation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breech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Challenging external recommendations/ improvement notice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Enforcement action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Improvement notices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Prosecution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Complete systems change required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Zero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Severely critical report </w:t>
            </w:r>
          </w:p>
        </w:tc>
      </w:tr>
      <w:tr w:rsidR="00326A78" w:rsidRPr="00E15821" w:rsidTr="00F0722B">
        <w:trPr>
          <w:trHeight w:val="130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Adverse publicity/ reputation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roofErr w:type="spellStart"/>
            <w:r w:rsidRPr="00E15821">
              <w:rPr>
                <w:rFonts w:ascii="Arial" w:eastAsia="Times New Roman" w:hAnsi="Arial" w:cs="Arial"/>
                <w:sz w:val="16"/>
                <w:szCs w:val="16"/>
                <w:lang w:val="en-US"/>
              </w:rPr>
              <w:t>Rumours</w:t>
            </w:r>
            <w:proofErr w:type="spellEnd"/>
            <w:r w:rsidRPr="00E15821">
              <w:rPr>
                <w:rFonts w:ascii="Arial" w:eastAsia="Times New Roman" w:hAnsi="Arial" w:cs="Arial"/>
                <w:sz w:val="16"/>
                <w:szCs w:val="16"/>
                <w:lang w:val="en-US"/>
              </w:rPr>
              <w:t xml:space="preserve"> </w:t>
            </w:r>
          </w:p>
          <w:p w:rsidR="00326A78" w:rsidRPr="00E15821" w:rsidRDefault="00326A78" w:rsidP="00F0722B">
            <w:pPr>
              <w:widowControl w:val="0"/>
              <w:autoSpaceDE w:val="0"/>
              <w:autoSpaceDN w:val="0"/>
              <w:adjustRightInd w:val="0"/>
              <w:spacing w:after="0" w:line="240" w:lineRule="auto"/>
              <w:ind w:left="-2315"/>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Potential for public concern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media coverage –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reduction in public confidence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Elements of public expectation not being met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Local media coverage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long-term reduction in public confidence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&gt;3 days service well below reasonable public expectation. MP concerned (questions in the House)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 loss of public confidence </w:t>
            </w:r>
          </w:p>
        </w:tc>
      </w:tr>
      <w:tr w:rsidR="00326A78" w:rsidRPr="00E15821" w:rsidTr="00F0722B">
        <w:trPr>
          <w:trHeight w:val="96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Business objectives/ projects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&lt;5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5–10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10–25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&gt;25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r>
      <w:tr w:rsidR="00326A78" w:rsidRPr="00E15821" w:rsidTr="00F0722B">
        <w:trPr>
          <w:trHeight w:val="158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Finance including claims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Small loss 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0.1–0.25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 less than £10,000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0.25–0.5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between £10,000 and £100,000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objective/Loss of 0.5–1.0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Claim(s) between £100,000 and £1 million</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 Loss of &gt;1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Failure to meet specification/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contract / payment by results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&gt;£1 million </w:t>
            </w:r>
          </w:p>
        </w:tc>
      </w:tr>
      <w:tr w:rsidR="00326A78" w:rsidRPr="00E15821" w:rsidTr="00F0722B">
        <w:trPr>
          <w:trHeight w:val="75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Service/business interruption Environmental impact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hour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Loss/interruption of &gt;8 hours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impact on environment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impact on environment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week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Permanent loss of service or facility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Catastrophic impact on environment </w:t>
            </w:r>
          </w:p>
        </w:tc>
      </w:tr>
    </w:tbl>
    <w:p w:rsidR="00326A78" w:rsidRPr="004E0EE7" w:rsidRDefault="0036344A"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L</w:t>
      </w:r>
      <w:r w:rsidR="00326A78" w:rsidRPr="004E0EE7">
        <w:rPr>
          <w:rFonts w:ascii="Arial" w:eastAsia="Times New Roman" w:hAnsi="Arial" w:cs="Arial"/>
          <w:b/>
          <w:bCs/>
          <w:sz w:val="24"/>
          <w:szCs w:val="20"/>
          <w:u w:val="single"/>
          <w:lang w:eastAsia="en-GB"/>
        </w:rPr>
        <w:t>ikelihood</w:t>
      </w:r>
    </w:p>
    <w:p w:rsidR="00326A78" w:rsidRPr="00197D59" w:rsidRDefault="00326A78" w:rsidP="00197D59">
      <w:pPr>
        <w:autoSpaceDE w:val="0"/>
        <w:autoSpaceDN w:val="0"/>
        <w:adjustRightInd w:val="0"/>
        <w:spacing w:after="120" w:line="240" w:lineRule="auto"/>
        <w:jc w:val="both"/>
        <w:rPr>
          <w:rFonts w:ascii="Arial" w:eastAsia="Times New Roman" w:hAnsi="Arial" w:cs="Arial"/>
          <w:sz w:val="20"/>
          <w:szCs w:val="20"/>
          <w:lang w:eastAsia="en-GB"/>
        </w:rPr>
      </w:pPr>
      <w:r w:rsidRPr="00197D59">
        <w:rPr>
          <w:rFonts w:ascii="Arial" w:eastAsia="Times New Roman" w:hAnsi="Arial" w:cs="Arial"/>
          <w:sz w:val="20"/>
          <w:szCs w:val="20"/>
          <w:lang w:eastAsia="en-GB"/>
        </w:rPr>
        <w:t>Given the (in) adequacy of the control measures for each risk, decide how likely the risk is to happen according to the following guide.  Scores range from 1 for rare to 5 for very likely.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884"/>
        <w:gridCol w:w="7009"/>
      </w:tblGrid>
      <w:tr w:rsidR="00326A78" w:rsidRPr="00197D59" w:rsidTr="00F0722B">
        <w:trPr>
          <w:trHeight w:val="26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Score</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Descriptor</w:t>
            </w:r>
          </w:p>
        </w:tc>
        <w:tc>
          <w:tcPr>
            <w:tcW w:w="7009"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Description</w:t>
            </w:r>
          </w:p>
        </w:tc>
      </w:tr>
      <w:tr w:rsidR="00326A78" w:rsidRPr="00197D59" w:rsidTr="00F0722B">
        <w:trPr>
          <w:trHeight w:val="825"/>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1</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Rare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Extremely unlikely to happen/recur – may occur only in exceptional circumstances – has never happened before and don’t think it will happen (again)</w:t>
            </w:r>
          </w:p>
        </w:tc>
      </w:tr>
      <w:tr w:rsidR="00326A78" w:rsidRPr="00197D59" w:rsidTr="00F0722B">
        <w:trPr>
          <w:trHeight w:val="562"/>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2</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Unlikely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Unlikely to occur/reoccur but possible.   Rarely occurred before, less than once per year.  Could happen at some time</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3</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Possible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May occur/reoccur.  But not definitely.  Happened before but only occasionally - once or twice a year</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4</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Will probably occur/reoccur.  Has happened before but not regularly – several times a month.  Will occur at some time.</w:t>
            </w:r>
          </w:p>
        </w:tc>
      </w:tr>
      <w:tr w:rsidR="00326A78" w:rsidRPr="00197D59" w:rsidTr="00F0722B">
        <w:trPr>
          <w:trHeight w:val="84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5</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Very 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Continuous exposure to risk.  Has happened before regularly and frequently – is expected to happen in most circumstances.  Occurs on a daily basis</w:t>
            </w:r>
          </w:p>
        </w:tc>
      </w:tr>
    </w:tbl>
    <w:p w:rsidR="00326A78" w:rsidRPr="00E15821" w:rsidRDefault="00326A78" w:rsidP="00326A78">
      <w:pPr>
        <w:spacing w:after="0" w:line="240" w:lineRule="auto"/>
        <w:jc w:val="center"/>
        <w:rPr>
          <w:rFonts w:ascii="Arial" w:eastAsia="Times New Roman" w:hAnsi="Arial" w:cs="Arial"/>
          <w:sz w:val="24"/>
          <w:szCs w:val="20"/>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Risk Score is determined by Severity x Likelihood</w:t>
      </w:r>
    </w:p>
    <w:p w:rsidR="00326A78" w:rsidRPr="00E15821" w:rsidRDefault="00326A78" w:rsidP="00326A78">
      <w:pPr>
        <w:spacing w:after="0" w:line="240" w:lineRule="auto"/>
        <w:jc w:val="center"/>
        <w:rPr>
          <w:rFonts w:ascii="Arial" w:eastAsia="Times New Roman" w:hAnsi="Arial" w:cs="Arial"/>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21"/>
        <w:gridCol w:w="1722"/>
        <w:gridCol w:w="1721"/>
        <w:gridCol w:w="1721"/>
        <w:gridCol w:w="1743"/>
      </w:tblGrid>
      <w:tr w:rsidR="00326A78" w:rsidRPr="00197D59" w:rsidTr="00F0722B">
        <w:trPr>
          <w:trHeight w:val="265"/>
        </w:trPr>
        <w:tc>
          <w:tcPr>
            <w:tcW w:w="1721" w:type="dxa"/>
          </w:tcPr>
          <w:p w:rsidR="00326A78" w:rsidRPr="00197D59" w:rsidRDefault="00326A78" w:rsidP="00F0722B">
            <w:pPr>
              <w:spacing w:after="0" w:line="240" w:lineRule="auto"/>
              <w:jc w:val="center"/>
              <w:rPr>
                <w:rFonts w:ascii="Arial" w:eastAsia="Times New Roman" w:hAnsi="Arial" w:cs="Arial"/>
                <w:b/>
                <w:sz w:val="20"/>
                <w:szCs w:val="20"/>
              </w:rPr>
            </w:pPr>
          </w:p>
        </w:tc>
        <w:tc>
          <w:tcPr>
            <w:tcW w:w="8628" w:type="dxa"/>
            <w:gridSpan w:val="5"/>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Consequence</w:t>
            </w:r>
          </w:p>
        </w:tc>
      </w:tr>
      <w:tr w:rsidR="00326A78" w:rsidRPr="00197D59" w:rsidTr="00F0722B">
        <w:trPr>
          <w:trHeight w:val="548"/>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Likelihood</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p w:rsidR="00326A78" w:rsidRPr="00197D59" w:rsidRDefault="004E0EE7" w:rsidP="00F0722B">
            <w:pPr>
              <w:spacing w:after="0" w:line="240" w:lineRule="auto"/>
              <w:jc w:val="center"/>
              <w:rPr>
                <w:rFonts w:ascii="Arial" w:eastAsia="Times New Roman" w:hAnsi="Arial" w:cs="Arial"/>
                <w:b/>
                <w:sz w:val="20"/>
                <w:szCs w:val="20"/>
              </w:rPr>
            </w:pPr>
            <w:r>
              <w:rPr>
                <w:rFonts w:ascii="Arial" w:eastAsia="Times New Roman" w:hAnsi="Arial" w:cs="Arial"/>
                <w:b/>
                <w:sz w:val="20"/>
                <w:szCs w:val="20"/>
              </w:rPr>
              <w:t>I</w:t>
            </w:r>
            <w:r w:rsidR="00326A78" w:rsidRPr="00197D59">
              <w:rPr>
                <w:rFonts w:ascii="Arial" w:eastAsia="Times New Roman" w:hAnsi="Arial" w:cs="Arial"/>
                <w:b/>
                <w:sz w:val="20"/>
                <w:szCs w:val="20"/>
              </w:rPr>
              <w:t>nsignificant</w:t>
            </w:r>
          </w:p>
        </w:tc>
        <w:tc>
          <w:tcPr>
            <w:tcW w:w="1722"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Minor</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Moderate</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Major</w:t>
            </w:r>
          </w:p>
        </w:tc>
        <w:tc>
          <w:tcPr>
            <w:tcW w:w="1743"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Catastrophic</w:t>
            </w:r>
          </w:p>
        </w:tc>
      </w:tr>
      <w:tr w:rsidR="00326A78" w:rsidRPr="00197D59" w:rsidTr="00F0722B">
        <w:trPr>
          <w:trHeight w:val="5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5 – Almost certain</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c>
          <w:tcPr>
            <w:tcW w:w="1722"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c>
          <w:tcPr>
            <w:tcW w:w="1721" w:type="dxa"/>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c>
          <w:tcPr>
            <w:tcW w:w="1743" w:type="dxa"/>
            <w:shd w:val="clear" w:color="auto" w:fill="9933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25</w:t>
            </w:r>
          </w:p>
        </w:tc>
      </w:tr>
      <w:tr w:rsidR="00326A78" w:rsidRPr="00197D59" w:rsidTr="00F0722B">
        <w:trPr>
          <w:trHeight w:val="265"/>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4 - Likely</w:t>
            </w:r>
          </w:p>
        </w:tc>
        <w:tc>
          <w:tcPr>
            <w:tcW w:w="1721" w:type="dxa"/>
            <w:tcBorders>
              <w:top w:val="single" w:sz="2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2"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21"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16</w:t>
            </w:r>
          </w:p>
        </w:tc>
        <w:tc>
          <w:tcPr>
            <w:tcW w:w="1743"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r>
      <w:tr w:rsidR="00326A78" w:rsidRPr="00197D59" w:rsidTr="00F0722B">
        <w:trPr>
          <w:trHeight w:val="283"/>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3 – Possible</w:t>
            </w:r>
          </w:p>
        </w:tc>
        <w:tc>
          <w:tcPr>
            <w:tcW w:w="1721" w:type="dxa"/>
            <w:tcBorders>
              <w:top w:val="single" w:sz="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2"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9</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r>
      <w:tr w:rsidR="00326A78" w:rsidRPr="00197D59" w:rsidTr="00F0722B">
        <w:trPr>
          <w:trHeight w:val="2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2 – Unlikely</w:t>
            </w:r>
          </w:p>
        </w:tc>
        <w:tc>
          <w:tcPr>
            <w:tcW w:w="1721" w:type="dxa"/>
            <w:tcBorders>
              <w:top w:val="single" w:sz="4" w:space="0" w:color="auto"/>
              <w:bottom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2" w:type="dxa"/>
            <w:tcBorders>
              <w:top w:val="single" w:sz="2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1"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r>
      <w:tr w:rsidR="00326A78" w:rsidRPr="00197D59" w:rsidTr="00F0722B">
        <w:trPr>
          <w:trHeight w:val="283"/>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1 - Rare</w:t>
            </w:r>
          </w:p>
        </w:tc>
        <w:tc>
          <w:tcPr>
            <w:tcW w:w="1721" w:type="dxa"/>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tc>
        <w:tc>
          <w:tcPr>
            <w:tcW w:w="1722" w:type="dxa"/>
            <w:tcBorders>
              <w:righ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1" w:type="dxa"/>
            <w:tcBorders>
              <w:top w:val="single" w:sz="24" w:space="0" w:color="auto"/>
              <w:lef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1" w:type="dxa"/>
            <w:tcBorders>
              <w:top w:val="single" w:sz="2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43"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r>
    </w:tbl>
    <w:p w:rsidR="0036344A" w:rsidRDefault="0036344A" w:rsidP="00A83620">
      <w:pPr>
        <w:rPr>
          <w:rFonts w:ascii="Arial" w:hAnsi="Arial" w:cs="Arial"/>
          <w:b/>
          <w:sz w:val="24"/>
          <w:szCs w:val="24"/>
        </w:rPr>
      </w:pPr>
    </w:p>
    <w:p w:rsidR="00326A78" w:rsidRPr="00E15821" w:rsidRDefault="0036344A" w:rsidP="00A83620">
      <w:pPr>
        <w:rPr>
          <w:rFonts w:ascii="Arial" w:hAnsi="Arial" w:cs="Arial"/>
          <w:b/>
          <w:sz w:val="24"/>
          <w:szCs w:val="24"/>
        </w:rPr>
      </w:pPr>
      <w:r>
        <w:rPr>
          <w:noProof/>
          <w:lang w:eastAsia="en-GB"/>
        </w:rPr>
        <w:drawing>
          <wp:inline distT="0" distB="0" distL="0" distR="0" wp14:anchorId="0D390489" wp14:editId="5FF5B8E6">
            <wp:extent cx="4987636" cy="222084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6324" cy="2224709"/>
                    </a:xfrm>
                    <a:prstGeom prst="rect">
                      <a:avLst/>
                    </a:prstGeom>
                  </pic:spPr>
                </pic:pic>
              </a:graphicData>
            </a:graphic>
          </wp:inline>
        </w:drawing>
      </w:r>
      <w:r w:rsidR="00326A78" w:rsidRPr="00E15821">
        <w:rPr>
          <w:rFonts w:ascii="Arial" w:hAnsi="Arial" w:cs="Arial"/>
          <w:b/>
          <w:sz w:val="24"/>
          <w:szCs w:val="24"/>
        </w:rPr>
        <w:t xml:space="preserve"> </w:t>
      </w:r>
    </w:p>
    <w:sectPr w:rsidR="00326A78" w:rsidRPr="00E15821" w:rsidSect="00326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219" w:rsidRDefault="00AA4219" w:rsidP="00FC4C1F">
      <w:pPr>
        <w:spacing w:after="0" w:line="240" w:lineRule="auto"/>
      </w:pPr>
      <w:r>
        <w:separator/>
      </w:r>
    </w:p>
  </w:endnote>
  <w:endnote w:type="continuationSeparator" w:id="0">
    <w:p w:rsidR="00AA4219" w:rsidRDefault="00AA4219" w:rsidP="00F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76" w:type="dxa"/>
      <w:jc w:val="center"/>
      <w:tblLook w:val="04A0" w:firstRow="1" w:lastRow="0" w:firstColumn="1" w:lastColumn="0" w:noHBand="0" w:noVBand="1"/>
    </w:tblPr>
    <w:tblGrid>
      <w:gridCol w:w="5098"/>
      <w:gridCol w:w="3678"/>
    </w:tblGrid>
    <w:tr w:rsidR="00197D59" w:rsidRPr="00E95D5F" w:rsidTr="00197D59">
      <w:trPr>
        <w:trHeight w:val="250"/>
        <w:jc w:val="center"/>
      </w:trPr>
      <w:tc>
        <w:tcPr>
          <w:tcW w:w="5098" w:type="dxa"/>
        </w:tcPr>
        <w:p w:rsidR="00197D59" w:rsidRPr="00E95D5F" w:rsidRDefault="00197D59" w:rsidP="00A658E3">
          <w:pPr>
            <w:pStyle w:val="Footer"/>
            <w:rPr>
              <w:rFonts w:ascii="Arial" w:hAnsi="Arial" w:cs="Arial"/>
              <w:sz w:val="20"/>
            </w:rPr>
          </w:pPr>
          <w:r w:rsidRPr="00E95D5F">
            <w:rPr>
              <w:rFonts w:ascii="Arial" w:hAnsi="Arial" w:cs="Arial"/>
              <w:sz w:val="20"/>
            </w:rPr>
            <w:t>Author: [</w:t>
          </w:r>
          <w:r w:rsidR="00A658E3">
            <w:rPr>
              <w:rFonts w:ascii="Arial" w:hAnsi="Arial" w:cs="Arial"/>
              <w:sz w:val="20"/>
            </w:rPr>
            <w:t>N. Hodges</w:t>
          </w:r>
          <w:r w:rsidRPr="00E95D5F">
            <w:rPr>
              <w:rFonts w:ascii="Arial" w:hAnsi="Arial" w:cs="Arial"/>
              <w:sz w:val="20"/>
            </w:rPr>
            <w:t xml:space="preserve">]                                                                 </w:t>
          </w:r>
        </w:p>
      </w:tc>
      <w:tc>
        <w:tcPr>
          <w:tcW w:w="3678" w:type="dxa"/>
        </w:tcPr>
        <w:p w:rsidR="00197D59" w:rsidRPr="00E95D5F" w:rsidRDefault="00A658E3" w:rsidP="00A658E3">
          <w:pPr>
            <w:pStyle w:val="Footer"/>
            <w:ind w:firstLine="36"/>
            <w:rPr>
              <w:rFonts w:ascii="Arial" w:hAnsi="Arial" w:cs="Arial"/>
              <w:sz w:val="20"/>
            </w:rPr>
          </w:pPr>
          <w:r>
            <w:rPr>
              <w:rFonts w:ascii="Arial" w:hAnsi="Arial" w:cs="Arial"/>
              <w:sz w:val="20"/>
            </w:rPr>
            <w:t>Edition No: [3</w:t>
          </w:r>
          <w:r w:rsidR="00197D59" w:rsidRPr="00E95D5F">
            <w:rPr>
              <w:rFonts w:ascii="Arial" w:hAnsi="Arial" w:cs="Arial"/>
              <w:sz w:val="20"/>
            </w:rPr>
            <w:t>]</w:t>
          </w:r>
        </w:p>
      </w:tc>
    </w:tr>
    <w:tr w:rsidR="00197D59" w:rsidRPr="00E95D5F" w:rsidTr="00197D59">
      <w:trPr>
        <w:trHeight w:val="250"/>
        <w:jc w:val="center"/>
      </w:trPr>
      <w:tc>
        <w:tcPr>
          <w:tcW w:w="5098" w:type="dxa"/>
        </w:tcPr>
        <w:p w:rsidR="00197D59" w:rsidRPr="00E95D5F" w:rsidRDefault="00197D59" w:rsidP="00A658E3">
          <w:pPr>
            <w:pStyle w:val="Footer"/>
            <w:ind w:right="-254"/>
            <w:rPr>
              <w:rFonts w:ascii="Arial" w:hAnsi="Arial" w:cs="Arial"/>
              <w:sz w:val="20"/>
            </w:rPr>
          </w:pPr>
          <w:r w:rsidRPr="00E95D5F">
            <w:rPr>
              <w:rFonts w:ascii="Arial" w:hAnsi="Arial" w:cs="Arial"/>
              <w:sz w:val="20"/>
            </w:rPr>
            <w:t>Approved by: [</w:t>
          </w:r>
          <w:r w:rsidR="00A658E3">
            <w:rPr>
              <w:rFonts w:ascii="Arial" w:hAnsi="Arial" w:cs="Arial"/>
              <w:sz w:val="20"/>
            </w:rPr>
            <w:t>F. Mills</w:t>
          </w:r>
          <w:r w:rsidRPr="00E95D5F">
            <w:rPr>
              <w:rFonts w:ascii="Arial" w:hAnsi="Arial" w:cs="Arial"/>
              <w:sz w:val="20"/>
            </w:rPr>
            <w:t>]</w:t>
          </w:r>
          <w:r w:rsidRPr="00E95D5F">
            <w:rPr>
              <w:rFonts w:ascii="Arial" w:hAnsi="Arial" w:cs="Arial"/>
              <w:sz w:val="20"/>
            </w:rPr>
            <w:tab/>
            <w:t xml:space="preserve">                                                  </w:t>
          </w:r>
        </w:p>
      </w:tc>
      <w:tc>
        <w:tcPr>
          <w:tcW w:w="3678" w:type="dxa"/>
        </w:tcPr>
        <w:p w:rsidR="00197D59" w:rsidRPr="00E95D5F" w:rsidRDefault="00197D59" w:rsidP="00A658E3">
          <w:pPr>
            <w:pStyle w:val="Footer"/>
            <w:ind w:firstLine="36"/>
            <w:rPr>
              <w:rFonts w:ascii="Arial" w:hAnsi="Arial" w:cs="Arial"/>
              <w:sz w:val="20"/>
            </w:rPr>
          </w:pPr>
          <w:r w:rsidRPr="00E95D5F">
            <w:rPr>
              <w:rFonts w:ascii="Arial" w:hAnsi="Arial" w:cs="Arial"/>
              <w:sz w:val="20"/>
            </w:rPr>
            <w:t>Active Date: [</w:t>
          </w:r>
          <w:r w:rsidR="00A658E3">
            <w:rPr>
              <w:rFonts w:ascii="Arial" w:hAnsi="Arial" w:cs="Arial"/>
              <w:sz w:val="20"/>
            </w:rPr>
            <w:t>31/10/2021</w:t>
          </w:r>
          <w:r w:rsidRPr="00E95D5F">
            <w:rPr>
              <w:rFonts w:ascii="Arial" w:hAnsi="Arial" w:cs="Arial"/>
              <w:sz w:val="20"/>
            </w:rPr>
            <w:t>]</w:t>
          </w:r>
        </w:p>
      </w:tc>
    </w:tr>
    <w:tr w:rsidR="00197D59" w:rsidRPr="00E95D5F" w:rsidTr="00A02447">
      <w:trPr>
        <w:trHeight w:val="250"/>
        <w:jc w:val="center"/>
      </w:trPr>
      <w:tc>
        <w:tcPr>
          <w:tcW w:w="8776" w:type="dxa"/>
          <w:gridSpan w:val="2"/>
        </w:tcPr>
        <w:p w:rsidR="00197D59" w:rsidRPr="00E95D5F" w:rsidRDefault="00197D59" w:rsidP="00197D59">
          <w:pPr>
            <w:pStyle w:val="Footer"/>
            <w:ind w:firstLine="36"/>
            <w:jc w:val="center"/>
            <w:rPr>
              <w:rFonts w:ascii="Arial" w:hAnsi="Arial" w:cs="Arial"/>
              <w:sz w:val="20"/>
            </w:rPr>
          </w:pPr>
          <w:r w:rsidRPr="00197D59">
            <w:rPr>
              <w:rFonts w:ascii="Arial" w:hAnsi="Arial" w:cs="Arial"/>
              <w:sz w:val="20"/>
            </w:rPr>
            <w:t xml:space="preserve">Page </w:t>
          </w:r>
          <w:r w:rsidRPr="00197D59">
            <w:rPr>
              <w:rFonts w:ascii="Arial" w:hAnsi="Arial" w:cs="Arial"/>
              <w:b/>
              <w:bCs/>
              <w:sz w:val="20"/>
            </w:rPr>
            <w:fldChar w:fldCharType="begin"/>
          </w:r>
          <w:r w:rsidRPr="00197D59">
            <w:rPr>
              <w:rFonts w:ascii="Arial" w:hAnsi="Arial" w:cs="Arial"/>
              <w:b/>
              <w:bCs/>
              <w:sz w:val="20"/>
            </w:rPr>
            <w:instrText xml:space="preserve"> PAGE  \* Arabic  \* MERGEFORMAT </w:instrText>
          </w:r>
          <w:r w:rsidRPr="00197D59">
            <w:rPr>
              <w:rFonts w:ascii="Arial" w:hAnsi="Arial" w:cs="Arial"/>
              <w:b/>
              <w:bCs/>
              <w:sz w:val="20"/>
            </w:rPr>
            <w:fldChar w:fldCharType="separate"/>
          </w:r>
          <w:r w:rsidR="00951D69">
            <w:rPr>
              <w:rFonts w:ascii="Arial" w:hAnsi="Arial" w:cs="Arial"/>
              <w:b/>
              <w:bCs/>
              <w:noProof/>
              <w:sz w:val="20"/>
            </w:rPr>
            <w:t>7</w:t>
          </w:r>
          <w:r w:rsidRPr="00197D59">
            <w:rPr>
              <w:rFonts w:ascii="Arial" w:hAnsi="Arial" w:cs="Arial"/>
              <w:b/>
              <w:bCs/>
              <w:sz w:val="20"/>
            </w:rPr>
            <w:fldChar w:fldCharType="end"/>
          </w:r>
          <w:r w:rsidRPr="00197D59">
            <w:rPr>
              <w:rFonts w:ascii="Arial" w:hAnsi="Arial" w:cs="Arial"/>
              <w:sz w:val="20"/>
            </w:rPr>
            <w:t xml:space="preserve"> of </w:t>
          </w:r>
          <w:r w:rsidRPr="00197D59">
            <w:rPr>
              <w:rFonts w:ascii="Arial" w:hAnsi="Arial" w:cs="Arial"/>
              <w:b/>
              <w:bCs/>
              <w:sz w:val="20"/>
            </w:rPr>
            <w:fldChar w:fldCharType="begin"/>
          </w:r>
          <w:r w:rsidRPr="00197D59">
            <w:rPr>
              <w:rFonts w:ascii="Arial" w:hAnsi="Arial" w:cs="Arial"/>
              <w:b/>
              <w:bCs/>
              <w:sz w:val="20"/>
            </w:rPr>
            <w:instrText xml:space="preserve"> NUMPAGES  \* Arabic  \* MERGEFORMAT </w:instrText>
          </w:r>
          <w:r w:rsidRPr="00197D59">
            <w:rPr>
              <w:rFonts w:ascii="Arial" w:hAnsi="Arial" w:cs="Arial"/>
              <w:b/>
              <w:bCs/>
              <w:sz w:val="20"/>
            </w:rPr>
            <w:fldChar w:fldCharType="separate"/>
          </w:r>
          <w:r w:rsidR="00951D69">
            <w:rPr>
              <w:rFonts w:ascii="Arial" w:hAnsi="Arial" w:cs="Arial"/>
              <w:b/>
              <w:bCs/>
              <w:noProof/>
              <w:sz w:val="20"/>
            </w:rPr>
            <w:t>7</w:t>
          </w:r>
          <w:r w:rsidRPr="00197D59">
            <w:rPr>
              <w:rFonts w:ascii="Arial" w:hAnsi="Arial" w:cs="Arial"/>
              <w:b/>
              <w:bCs/>
              <w:sz w:val="20"/>
            </w:rPr>
            <w:fldChar w:fldCharType="end"/>
          </w:r>
        </w:p>
      </w:tc>
    </w:tr>
  </w:tbl>
  <w:p w:rsidR="00E95D5F" w:rsidRDefault="00E95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219" w:rsidRDefault="00AA4219" w:rsidP="00FC4C1F">
      <w:pPr>
        <w:spacing w:after="0" w:line="240" w:lineRule="auto"/>
      </w:pPr>
      <w:r>
        <w:separator/>
      </w:r>
    </w:p>
  </w:footnote>
  <w:footnote w:type="continuationSeparator" w:id="0">
    <w:p w:rsidR="00AA4219" w:rsidRDefault="00AA4219" w:rsidP="00FC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98" w:rsidRPr="00E95D5F" w:rsidRDefault="00123098" w:rsidP="00123098">
    <w:pPr>
      <w:pStyle w:val="Header"/>
      <w:tabs>
        <w:tab w:val="left" w:pos="6358"/>
      </w:tabs>
      <w:jc w:val="right"/>
      <w:rPr>
        <w:b/>
        <w:sz w:val="24"/>
      </w:rPr>
    </w:pPr>
    <w:r w:rsidRPr="00E95D5F">
      <w:rPr>
        <w:b/>
        <w:sz w:val="24"/>
      </w:rPr>
      <w:t xml:space="preserve">RUH </w:t>
    </w:r>
    <w:smartTag w:uri="urn:schemas-microsoft-com:office:smarttags" w:element="City">
      <w:smartTag w:uri="urn:schemas-microsoft-com:office:smarttags" w:element="place">
        <w:r w:rsidRPr="00E95D5F">
          <w:rPr>
            <w:b/>
            <w:sz w:val="24"/>
          </w:rPr>
          <w:t>Bath</w:t>
        </w:r>
      </w:smartTag>
    </w:smartTag>
    <w:r w:rsidRPr="00E95D5F">
      <w:rPr>
        <w:b/>
        <w:sz w:val="24"/>
      </w:rPr>
      <w:t xml:space="preserve"> NHS Foundation Trust – Pathology Department</w:t>
    </w:r>
  </w:p>
  <w:p w:rsidR="00123098" w:rsidRPr="00E95D5F" w:rsidRDefault="00EE0E3C" w:rsidP="00123098">
    <w:pPr>
      <w:pStyle w:val="Header"/>
      <w:rPr>
        <w:rFonts w:ascii="Arial" w:hAnsi="Arial" w:cs="Arial"/>
      </w:rPr>
    </w:pPr>
    <w:r w:rsidRPr="00E95D5F">
      <w:rPr>
        <w:rFonts w:ascii="Arial" w:hAnsi="Arial" w:cs="Arial"/>
        <w:b/>
      </w:rPr>
      <w:t>Document Reference:</w:t>
    </w:r>
    <w:r w:rsidRPr="00E95D5F">
      <w:rPr>
        <w:rFonts w:ascii="Arial" w:hAnsi="Arial" w:cs="Arial"/>
      </w:rPr>
      <w:t xml:space="preserve"> </w:t>
    </w:r>
    <w:r w:rsidR="00E95D5F" w:rsidRPr="004A37DE">
      <w:rPr>
        <w:rFonts w:ascii="Arial" w:hAnsi="Arial" w:cs="Arial"/>
      </w:rPr>
      <w:t>[RA/</w:t>
    </w:r>
    <w:r w:rsidR="00A658E3">
      <w:rPr>
        <w:rFonts w:ascii="Arial" w:hAnsi="Arial" w:cs="Arial"/>
      </w:rPr>
      <w:t>POCT/9</w:t>
    </w:r>
    <w:r w:rsidRPr="004A37DE">
      <w:rPr>
        <w:rFonts w:ascii="Arial" w:hAnsi="Arial" w:cs="Arial"/>
      </w:rPr>
      <w:t>]</w:t>
    </w:r>
  </w:p>
  <w:p w:rsidR="00123098" w:rsidRPr="00E95D5F" w:rsidRDefault="00123098" w:rsidP="00123098">
    <w:pPr>
      <w:pStyle w:val="Header"/>
      <w:rPr>
        <w:sz w:val="1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19"/>
      <w:gridCol w:w="5839"/>
    </w:tblGrid>
    <w:tr w:rsidR="00123098" w:rsidRPr="00E95D5F" w:rsidTr="003710CE">
      <w:tc>
        <w:tcPr>
          <w:tcW w:w="8523" w:type="dxa"/>
        </w:tcPr>
        <w:p w:rsidR="00123098" w:rsidRPr="00E95D5F" w:rsidRDefault="00E95D5F" w:rsidP="00A658E3">
          <w:pPr>
            <w:pStyle w:val="Header"/>
            <w:ind w:left="-110"/>
            <w:rPr>
              <w:rFonts w:ascii="Arial" w:hAnsi="Arial" w:cs="Arial"/>
              <w:sz w:val="20"/>
            </w:rPr>
          </w:pPr>
          <w:r w:rsidRPr="00E95D5F">
            <w:rPr>
              <w:rFonts w:ascii="Arial" w:hAnsi="Arial" w:cs="Arial"/>
              <w:b/>
              <w:szCs w:val="28"/>
            </w:rPr>
            <w:t>Title:</w:t>
          </w:r>
          <w:r w:rsidR="00A658E3">
            <w:rPr>
              <w:rFonts w:ascii="Arial" w:hAnsi="Arial" w:cs="Arial"/>
              <w:b/>
              <w:szCs w:val="28"/>
            </w:rPr>
            <w:t xml:space="preserve"> </w:t>
          </w:r>
          <w:r w:rsidR="00A658E3" w:rsidRPr="00A658E3">
            <w:rPr>
              <w:rFonts w:ascii="Arial" w:hAnsi="Arial" w:cs="Arial"/>
              <w:szCs w:val="28"/>
            </w:rPr>
            <w:t>Risk assessment for</w:t>
          </w:r>
          <w:r w:rsidRPr="00E95D5F">
            <w:rPr>
              <w:rFonts w:ascii="Arial" w:hAnsi="Arial" w:cs="Arial"/>
              <w:szCs w:val="28"/>
            </w:rPr>
            <w:t xml:space="preserve"> </w:t>
          </w:r>
          <w:r w:rsidR="00A658E3">
            <w:rPr>
              <w:rFonts w:ascii="Arial" w:hAnsi="Arial" w:cs="Arial"/>
              <w:sz w:val="20"/>
              <w:szCs w:val="20"/>
            </w:rPr>
            <w:t xml:space="preserve">Analysis of </w:t>
          </w:r>
          <w:proofErr w:type="spellStart"/>
          <w:r w:rsidR="00A658E3">
            <w:rPr>
              <w:rFonts w:ascii="Arial" w:hAnsi="Arial" w:cs="Arial"/>
              <w:sz w:val="20"/>
              <w:szCs w:val="20"/>
            </w:rPr>
            <w:t>PlGF</w:t>
          </w:r>
          <w:proofErr w:type="spellEnd"/>
          <w:r w:rsidR="00A658E3">
            <w:rPr>
              <w:rFonts w:ascii="Arial" w:hAnsi="Arial" w:cs="Arial"/>
              <w:sz w:val="20"/>
              <w:szCs w:val="20"/>
            </w:rPr>
            <w:t xml:space="preserve"> with the </w:t>
          </w:r>
          <w:proofErr w:type="spellStart"/>
          <w:r w:rsidR="00A658E3">
            <w:rPr>
              <w:rFonts w:ascii="Arial" w:hAnsi="Arial" w:cs="Arial"/>
              <w:sz w:val="20"/>
              <w:szCs w:val="20"/>
            </w:rPr>
            <w:t>Quidel</w:t>
          </w:r>
          <w:proofErr w:type="spellEnd"/>
          <w:r w:rsidR="00A658E3">
            <w:rPr>
              <w:rFonts w:ascii="Arial" w:hAnsi="Arial" w:cs="Arial"/>
              <w:sz w:val="20"/>
              <w:szCs w:val="20"/>
            </w:rPr>
            <w:t xml:space="preserve"> Triage </w:t>
          </w:r>
          <w:proofErr w:type="spellStart"/>
          <w:r w:rsidR="00A658E3">
            <w:rPr>
              <w:rFonts w:ascii="Arial" w:hAnsi="Arial" w:cs="Arial"/>
              <w:sz w:val="20"/>
              <w:szCs w:val="20"/>
            </w:rPr>
            <w:t>MeterPro</w:t>
          </w:r>
          <w:proofErr w:type="spellEnd"/>
        </w:p>
      </w:tc>
      <w:tc>
        <w:tcPr>
          <w:tcW w:w="6171" w:type="dxa"/>
        </w:tcPr>
        <w:p w:rsidR="00123098" w:rsidRPr="00E95D5F" w:rsidRDefault="00123098" w:rsidP="00123098">
          <w:pPr>
            <w:pStyle w:val="Header"/>
            <w:rPr>
              <w:sz w:val="18"/>
              <w:szCs w:val="20"/>
            </w:rPr>
          </w:pPr>
        </w:p>
      </w:tc>
    </w:tr>
  </w:tbl>
  <w:p w:rsidR="00123098" w:rsidRPr="001521DC" w:rsidRDefault="00123098" w:rsidP="0012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4001"/>
    <w:multiLevelType w:val="hybridMultilevel"/>
    <w:tmpl w:val="694ACC14"/>
    <w:lvl w:ilvl="0" w:tplc="33DA913E">
      <w:start w:val="1"/>
      <w:numFmt w:val="bullet"/>
      <w:lvlText w:val="•"/>
      <w:lvlJc w:val="left"/>
      <w:pPr>
        <w:tabs>
          <w:tab w:val="num" w:pos="1440"/>
        </w:tabs>
        <w:ind w:left="1440" w:hanging="360"/>
      </w:pPr>
      <w:rPr>
        <w:rFonts w:ascii="Times New Roman" w:hAnsi="Times New Roman" w:hint="default"/>
      </w:rPr>
    </w:lvl>
    <w:lvl w:ilvl="1" w:tplc="96E0B314" w:tentative="1">
      <w:start w:val="1"/>
      <w:numFmt w:val="bullet"/>
      <w:lvlText w:val="•"/>
      <w:lvlJc w:val="left"/>
      <w:pPr>
        <w:tabs>
          <w:tab w:val="num" w:pos="2160"/>
        </w:tabs>
        <w:ind w:left="2160" w:hanging="360"/>
      </w:pPr>
      <w:rPr>
        <w:rFonts w:ascii="Times New Roman" w:hAnsi="Times New Roman" w:hint="default"/>
      </w:rPr>
    </w:lvl>
    <w:lvl w:ilvl="2" w:tplc="78D883F4" w:tentative="1">
      <w:start w:val="1"/>
      <w:numFmt w:val="bullet"/>
      <w:lvlText w:val="•"/>
      <w:lvlJc w:val="left"/>
      <w:pPr>
        <w:tabs>
          <w:tab w:val="num" w:pos="2880"/>
        </w:tabs>
        <w:ind w:left="2880" w:hanging="360"/>
      </w:pPr>
      <w:rPr>
        <w:rFonts w:ascii="Times New Roman" w:hAnsi="Times New Roman" w:hint="default"/>
      </w:rPr>
    </w:lvl>
    <w:lvl w:ilvl="3" w:tplc="94C6DEF8" w:tentative="1">
      <w:start w:val="1"/>
      <w:numFmt w:val="bullet"/>
      <w:lvlText w:val="•"/>
      <w:lvlJc w:val="left"/>
      <w:pPr>
        <w:tabs>
          <w:tab w:val="num" w:pos="3600"/>
        </w:tabs>
        <w:ind w:left="3600" w:hanging="360"/>
      </w:pPr>
      <w:rPr>
        <w:rFonts w:ascii="Times New Roman" w:hAnsi="Times New Roman" w:hint="default"/>
      </w:rPr>
    </w:lvl>
    <w:lvl w:ilvl="4" w:tplc="60064256" w:tentative="1">
      <w:start w:val="1"/>
      <w:numFmt w:val="bullet"/>
      <w:lvlText w:val="•"/>
      <w:lvlJc w:val="left"/>
      <w:pPr>
        <w:tabs>
          <w:tab w:val="num" w:pos="4320"/>
        </w:tabs>
        <w:ind w:left="4320" w:hanging="360"/>
      </w:pPr>
      <w:rPr>
        <w:rFonts w:ascii="Times New Roman" w:hAnsi="Times New Roman" w:hint="default"/>
      </w:rPr>
    </w:lvl>
    <w:lvl w:ilvl="5" w:tplc="635C34E0" w:tentative="1">
      <w:start w:val="1"/>
      <w:numFmt w:val="bullet"/>
      <w:lvlText w:val="•"/>
      <w:lvlJc w:val="left"/>
      <w:pPr>
        <w:tabs>
          <w:tab w:val="num" w:pos="5040"/>
        </w:tabs>
        <w:ind w:left="5040" w:hanging="360"/>
      </w:pPr>
      <w:rPr>
        <w:rFonts w:ascii="Times New Roman" w:hAnsi="Times New Roman" w:hint="default"/>
      </w:rPr>
    </w:lvl>
    <w:lvl w:ilvl="6" w:tplc="06DC66A6" w:tentative="1">
      <w:start w:val="1"/>
      <w:numFmt w:val="bullet"/>
      <w:lvlText w:val="•"/>
      <w:lvlJc w:val="left"/>
      <w:pPr>
        <w:tabs>
          <w:tab w:val="num" w:pos="5760"/>
        </w:tabs>
        <w:ind w:left="5760" w:hanging="360"/>
      </w:pPr>
      <w:rPr>
        <w:rFonts w:ascii="Times New Roman" w:hAnsi="Times New Roman" w:hint="default"/>
      </w:rPr>
    </w:lvl>
    <w:lvl w:ilvl="7" w:tplc="605E4BBA" w:tentative="1">
      <w:start w:val="1"/>
      <w:numFmt w:val="bullet"/>
      <w:lvlText w:val="•"/>
      <w:lvlJc w:val="left"/>
      <w:pPr>
        <w:tabs>
          <w:tab w:val="num" w:pos="6480"/>
        </w:tabs>
        <w:ind w:left="6480" w:hanging="360"/>
      </w:pPr>
      <w:rPr>
        <w:rFonts w:ascii="Times New Roman" w:hAnsi="Times New Roman" w:hint="default"/>
      </w:rPr>
    </w:lvl>
    <w:lvl w:ilvl="8" w:tplc="A296DD0E" w:tentative="1">
      <w:start w:val="1"/>
      <w:numFmt w:val="bullet"/>
      <w:lvlText w:val="•"/>
      <w:lvlJc w:val="left"/>
      <w:pPr>
        <w:tabs>
          <w:tab w:val="num" w:pos="7200"/>
        </w:tabs>
        <w:ind w:left="7200" w:hanging="360"/>
      </w:pPr>
      <w:rPr>
        <w:rFonts w:ascii="Times New Roman" w:hAnsi="Times New Roman" w:hint="default"/>
      </w:rPr>
    </w:lvl>
  </w:abstractNum>
  <w:abstractNum w:abstractNumId="1" w15:restartNumberingAfterBreak="0">
    <w:nsid w:val="5C573E45"/>
    <w:multiLevelType w:val="hybridMultilevel"/>
    <w:tmpl w:val="1DC20C6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20"/>
    <w:rsid w:val="00072650"/>
    <w:rsid w:val="000E6548"/>
    <w:rsid w:val="00101337"/>
    <w:rsid w:val="00123098"/>
    <w:rsid w:val="00176E7E"/>
    <w:rsid w:val="00182367"/>
    <w:rsid w:val="00197D59"/>
    <w:rsid w:val="002102E1"/>
    <w:rsid w:val="00283DF1"/>
    <w:rsid w:val="002E2A28"/>
    <w:rsid w:val="00326A78"/>
    <w:rsid w:val="003320FB"/>
    <w:rsid w:val="0036344A"/>
    <w:rsid w:val="003928ED"/>
    <w:rsid w:val="003D5E2F"/>
    <w:rsid w:val="004A37DE"/>
    <w:rsid w:val="004E0EE7"/>
    <w:rsid w:val="00621789"/>
    <w:rsid w:val="006312FE"/>
    <w:rsid w:val="00692653"/>
    <w:rsid w:val="006C7014"/>
    <w:rsid w:val="006F1250"/>
    <w:rsid w:val="00753E7F"/>
    <w:rsid w:val="007624D4"/>
    <w:rsid w:val="007B4AE5"/>
    <w:rsid w:val="007D2848"/>
    <w:rsid w:val="00801F96"/>
    <w:rsid w:val="008C769C"/>
    <w:rsid w:val="008D35D9"/>
    <w:rsid w:val="00904683"/>
    <w:rsid w:val="00932626"/>
    <w:rsid w:val="00951D69"/>
    <w:rsid w:val="00985F4F"/>
    <w:rsid w:val="009918A3"/>
    <w:rsid w:val="00A658E3"/>
    <w:rsid w:val="00A83620"/>
    <w:rsid w:val="00AA4219"/>
    <w:rsid w:val="00B13718"/>
    <w:rsid w:val="00BE1BDA"/>
    <w:rsid w:val="00CA1236"/>
    <w:rsid w:val="00CB12D1"/>
    <w:rsid w:val="00CD3CBE"/>
    <w:rsid w:val="00DD0D63"/>
    <w:rsid w:val="00DD6BE9"/>
    <w:rsid w:val="00E15821"/>
    <w:rsid w:val="00E71A3D"/>
    <w:rsid w:val="00E75298"/>
    <w:rsid w:val="00E95D5F"/>
    <w:rsid w:val="00EE0E3C"/>
    <w:rsid w:val="00EE423E"/>
    <w:rsid w:val="00F742A6"/>
    <w:rsid w:val="00F84F96"/>
    <w:rsid w:val="00FC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D11A131F-22DC-4590-A5AA-D1C7372D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 w:type="table" w:customStyle="1" w:styleId="TableGrid1">
    <w:name w:val="Table Grid1"/>
    <w:basedOn w:val="TableNormal"/>
    <w:next w:val="TableGrid"/>
    <w:uiPriority w:val="59"/>
    <w:rsid w:val="007624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58E3"/>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350">
      <w:bodyDiv w:val="1"/>
      <w:marLeft w:val="0"/>
      <w:marRight w:val="0"/>
      <w:marTop w:val="0"/>
      <w:marBottom w:val="0"/>
      <w:divBdr>
        <w:top w:val="none" w:sz="0" w:space="0" w:color="auto"/>
        <w:left w:val="none" w:sz="0" w:space="0" w:color="auto"/>
        <w:bottom w:val="none" w:sz="0" w:space="0" w:color="auto"/>
        <w:right w:val="none" w:sz="0" w:space="0" w:color="auto"/>
      </w:divBdr>
    </w:div>
    <w:div w:id="7306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BBBB-1950-4C00-B009-35D4980B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dc:creator>
  <cp:lastModifiedBy>Hodges, Nicola</cp:lastModifiedBy>
  <cp:revision>7</cp:revision>
  <dcterms:created xsi:type="dcterms:W3CDTF">2021-10-19T15:28:00Z</dcterms:created>
  <dcterms:modified xsi:type="dcterms:W3CDTF">2021-11-05T13:54:00Z</dcterms:modified>
</cp:coreProperties>
</file>