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BD0BB2">
              <w:rPr>
                <w:rFonts w:ascii="Arial" w:hAnsi="Arial" w:cs="Arial"/>
                <w:sz w:val="20"/>
                <w:szCs w:val="20"/>
              </w:rPr>
              <w:t xml:space="preserve"> Urology, ED Minors, Children’s ward &amp; OP, Parry ward, Riverside GUM clinic, Maternity. </w:t>
            </w:r>
          </w:p>
        </w:tc>
        <w:tc>
          <w:tcPr>
            <w:tcW w:w="6956" w:type="dxa"/>
          </w:tcPr>
          <w:p w:rsidR="00A83620" w:rsidRPr="00123098" w:rsidRDefault="00E95D5F" w:rsidP="00BD0BB2">
            <w:pPr>
              <w:rPr>
                <w:rFonts w:ascii="Arial" w:hAnsi="Arial" w:cs="Arial"/>
                <w:sz w:val="20"/>
                <w:szCs w:val="20"/>
              </w:rPr>
            </w:pPr>
            <w:r>
              <w:rPr>
                <w:rFonts w:ascii="Arial" w:hAnsi="Arial" w:cs="Arial"/>
                <w:sz w:val="20"/>
                <w:szCs w:val="20"/>
              </w:rPr>
              <w:t>SOP Document Reference Number:</w:t>
            </w:r>
            <w:r w:rsidR="00BD0BB2">
              <w:rPr>
                <w:rFonts w:ascii="Arial" w:hAnsi="Arial" w:cs="Arial"/>
                <w:sz w:val="20"/>
                <w:szCs w:val="20"/>
              </w:rPr>
              <w:t xml:space="preserve"> </w:t>
            </w:r>
            <w:r w:rsidR="00BD0BB2" w:rsidRPr="00BD0BB2">
              <w:rPr>
                <w:rFonts w:ascii="Arial" w:hAnsi="Arial" w:cs="Arial"/>
                <w:b/>
                <w:sz w:val="20"/>
                <w:szCs w:val="20"/>
              </w:rPr>
              <w:t>SOP/POCT/60</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BD0BB2">
              <w:rPr>
                <w:rFonts w:ascii="Arial" w:hAnsi="Arial" w:cs="Arial"/>
                <w:sz w:val="20"/>
                <w:szCs w:val="20"/>
              </w:rPr>
              <w:t xml:space="preserve"> N.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BD0BB2">
              <w:rPr>
                <w:rFonts w:ascii="Arial" w:hAnsi="Arial" w:cs="Arial"/>
                <w:sz w:val="20"/>
                <w:szCs w:val="20"/>
              </w:rPr>
              <w:t xml:space="preserve"> 9/03/2022</w:t>
            </w:r>
          </w:p>
        </w:tc>
        <w:tc>
          <w:tcPr>
            <w:tcW w:w="6956" w:type="dxa"/>
          </w:tcPr>
          <w:p w:rsidR="00A83620" w:rsidRPr="00123098" w:rsidRDefault="004E0EE7" w:rsidP="00BD0BB2">
            <w:pPr>
              <w:rPr>
                <w:rFonts w:ascii="Arial" w:hAnsi="Arial" w:cs="Arial"/>
                <w:sz w:val="20"/>
                <w:szCs w:val="20"/>
              </w:rPr>
            </w:pPr>
            <w:r w:rsidRPr="004E0EE7">
              <w:rPr>
                <w:rFonts w:ascii="Arial" w:hAnsi="Arial" w:cs="Arial"/>
                <w:sz w:val="20"/>
                <w:szCs w:val="20"/>
              </w:rPr>
              <w:t xml:space="preserve">Informed QM of any </w:t>
            </w:r>
            <w:r w:rsidR="00BD0BB2">
              <w:rPr>
                <w:rFonts w:ascii="Arial" w:hAnsi="Arial" w:cs="Arial"/>
                <w:sz w:val="20"/>
                <w:szCs w:val="20"/>
              </w:rPr>
              <w:t xml:space="preserve">Risk Score &gt;9: </w:t>
            </w:r>
            <w:r w:rsidRPr="004E0EE7">
              <w:rPr>
                <w:rFonts w:ascii="Arial" w:hAnsi="Arial" w:cs="Arial"/>
                <w:sz w:val="20"/>
                <w:szCs w:val="20"/>
              </w:rPr>
              <w:t>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4063" w:type="dxa"/>
        <w:tblLayout w:type="fixed"/>
        <w:tblLook w:val="04A0" w:firstRow="1" w:lastRow="0" w:firstColumn="1" w:lastColumn="0" w:noHBand="0" w:noVBand="1"/>
      </w:tblPr>
      <w:tblGrid>
        <w:gridCol w:w="3031"/>
        <w:gridCol w:w="3060"/>
        <w:gridCol w:w="425"/>
        <w:gridCol w:w="425"/>
        <w:gridCol w:w="375"/>
        <w:gridCol w:w="50"/>
        <w:gridCol w:w="2934"/>
        <w:gridCol w:w="43"/>
        <w:gridCol w:w="2225"/>
        <w:gridCol w:w="43"/>
        <w:gridCol w:w="415"/>
        <w:gridCol w:w="458"/>
        <w:gridCol w:w="545"/>
        <w:gridCol w:w="34"/>
      </w:tblGrid>
      <w:tr w:rsidR="00283DF1" w:rsidRPr="00197D59" w:rsidTr="00FF7DC9">
        <w:trPr>
          <w:gridAfter w:val="1"/>
          <w:wAfter w:w="34" w:type="dxa"/>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3060"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275" w:type="dxa"/>
            <w:gridSpan w:val="4"/>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77" w:type="dxa"/>
            <w:gridSpan w:val="2"/>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gridSpan w:val="2"/>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1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BD0BB2" w:rsidRPr="00197D59" w:rsidTr="00FF7DC9">
        <w:trPr>
          <w:trHeight w:val="247"/>
        </w:trPr>
        <w:tc>
          <w:tcPr>
            <w:tcW w:w="3031" w:type="dxa"/>
          </w:tcPr>
          <w:p w:rsidR="00BD0BB2" w:rsidRDefault="00BD0BB2" w:rsidP="00BD0BB2">
            <w:pPr>
              <w:rPr>
                <w:rFonts w:ascii="Arial" w:hAnsi="Arial" w:cs="Arial"/>
                <w:sz w:val="20"/>
                <w:szCs w:val="20"/>
              </w:rPr>
            </w:pPr>
            <w:r>
              <w:rPr>
                <w:rFonts w:ascii="Arial" w:hAnsi="Arial" w:cs="Arial"/>
              </w:rPr>
              <w:t>As a result of analysing patient urine samples, there is a risk of contact with urine. Urine samples carry a low risk of infection, there is however a risk of sample spillage causing insufficient volume.</w:t>
            </w: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tc>
        <w:tc>
          <w:tcPr>
            <w:tcW w:w="3060" w:type="dxa"/>
          </w:tcPr>
          <w:p w:rsidR="00BD0BB2" w:rsidRDefault="00BD0BB2" w:rsidP="00BD0BB2">
            <w:pPr>
              <w:spacing w:before="60"/>
              <w:rPr>
                <w:rFonts w:ascii="Arial" w:hAnsi="Arial" w:cs="Arial"/>
              </w:rPr>
            </w:pPr>
            <w:r>
              <w:rPr>
                <w:rFonts w:ascii="Arial" w:hAnsi="Arial" w:cs="Arial"/>
                <w:iCs/>
                <w:sz w:val="20"/>
                <w:szCs w:val="20"/>
              </w:rPr>
              <w:t xml:space="preserve"> </w:t>
            </w:r>
            <w:r>
              <w:rPr>
                <w:rFonts w:ascii="Arial" w:hAnsi="Arial" w:cs="Arial"/>
              </w:rPr>
              <w:t xml:space="preserve">Gloves should be worn when handling the urine sample. Urinalysis takes place in sluice rooms away from other staff and patients. Urine samples can be transferred from collection bowl to universal pot or urine sample tube to be moved from patient to urinalysis meter. </w:t>
            </w:r>
          </w:p>
          <w:p w:rsidR="00BD0BB2" w:rsidRDefault="00BD0BB2" w:rsidP="00BD0BB2">
            <w:pPr>
              <w:rPr>
                <w:rFonts w:ascii="Arial" w:hAnsi="Arial" w:cs="Arial"/>
                <w:sz w:val="20"/>
                <w:szCs w:val="20"/>
              </w:rPr>
            </w:pPr>
            <w:r>
              <w:rPr>
                <w:rFonts w:ascii="Arial" w:hAnsi="Arial" w:cs="Arial"/>
              </w:rPr>
              <w:t>The SOP states the strip port should be cleaned after each strip to remove excess urine.</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1</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37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2984" w:type="dxa"/>
            <w:gridSpan w:val="2"/>
          </w:tcPr>
          <w:p w:rsidR="00BD0BB2" w:rsidRDefault="00BD0BB2" w:rsidP="00BD0BB2">
            <w:pPr>
              <w:rPr>
                <w:rFonts w:ascii="Arial" w:hAnsi="Arial" w:cs="Arial"/>
                <w:sz w:val="20"/>
                <w:szCs w:val="20"/>
              </w:rPr>
            </w:pPr>
          </w:p>
        </w:tc>
        <w:tc>
          <w:tcPr>
            <w:tcW w:w="2268" w:type="dxa"/>
            <w:gridSpan w:val="2"/>
          </w:tcPr>
          <w:p w:rsidR="00BD0BB2" w:rsidRDefault="00BD0BB2" w:rsidP="00BD0BB2">
            <w:pPr>
              <w:rPr>
                <w:rFonts w:ascii="Arial" w:hAnsi="Arial" w:cs="Arial"/>
                <w:sz w:val="20"/>
                <w:szCs w:val="20"/>
              </w:rPr>
            </w:pPr>
          </w:p>
        </w:tc>
        <w:tc>
          <w:tcPr>
            <w:tcW w:w="458" w:type="dxa"/>
            <w:gridSpan w:val="2"/>
            <w:shd w:val="clear" w:color="auto" w:fill="auto"/>
          </w:tcPr>
          <w:p w:rsidR="00BD0BB2" w:rsidRDefault="00BD0BB2" w:rsidP="00BD0BB2">
            <w:pPr>
              <w:rPr>
                <w:rFonts w:ascii="Arial" w:hAnsi="Arial" w:cs="Arial"/>
                <w:sz w:val="20"/>
                <w:szCs w:val="20"/>
              </w:rPr>
            </w:pPr>
          </w:p>
        </w:tc>
        <w:tc>
          <w:tcPr>
            <w:tcW w:w="458" w:type="dxa"/>
            <w:shd w:val="clear" w:color="auto" w:fill="auto"/>
          </w:tcPr>
          <w:p w:rsidR="00BD0BB2" w:rsidRDefault="00BD0BB2" w:rsidP="00BD0BB2">
            <w:pPr>
              <w:rPr>
                <w:rFonts w:ascii="Arial" w:hAnsi="Arial" w:cs="Arial"/>
                <w:sz w:val="20"/>
                <w:szCs w:val="20"/>
              </w:rPr>
            </w:pPr>
          </w:p>
        </w:tc>
        <w:tc>
          <w:tcPr>
            <w:tcW w:w="579" w:type="dxa"/>
            <w:gridSpan w:val="2"/>
            <w:shd w:val="clear" w:color="auto" w:fill="auto"/>
          </w:tcPr>
          <w:p w:rsidR="00BD0BB2" w:rsidRDefault="00BD0BB2" w:rsidP="00BD0BB2">
            <w:pPr>
              <w:rPr>
                <w:rFonts w:ascii="Arial" w:hAnsi="Arial" w:cs="Arial"/>
                <w:sz w:val="20"/>
                <w:szCs w:val="20"/>
              </w:rPr>
            </w:pPr>
          </w:p>
        </w:tc>
      </w:tr>
      <w:tr w:rsidR="00BD0BB2" w:rsidRPr="00197D59" w:rsidTr="00FF7DC9">
        <w:tc>
          <w:tcPr>
            <w:tcW w:w="3031" w:type="dxa"/>
          </w:tcPr>
          <w:p w:rsidR="00BD0BB2" w:rsidRDefault="00BD0BB2" w:rsidP="00BD0BB2">
            <w:pPr>
              <w:rPr>
                <w:rFonts w:ascii="Arial" w:hAnsi="Arial" w:cs="Arial"/>
              </w:rPr>
            </w:pPr>
            <w:r>
              <w:rPr>
                <w:rFonts w:ascii="Arial" w:hAnsi="Arial" w:cs="Arial"/>
              </w:rPr>
              <w:t xml:space="preserve">As a result of incorrect use of the urinalysis reader, there is a risk of damage to the reader, the dipsticks not having all pads covered in urine, the dipstick not being placed onto the sample port correctly. </w:t>
            </w:r>
          </w:p>
          <w:p w:rsidR="00BD0BB2" w:rsidRDefault="00BD0BB2" w:rsidP="00BD0BB2">
            <w:pPr>
              <w:rPr>
                <w:rFonts w:ascii="Arial" w:hAnsi="Arial" w:cs="Arial"/>
              </w:rPr>
            </w:pPr>
            <w:r>
              <w:rPr>
                <w:rFonts w:ascii="Arial" w:hAnsi="Arial" w:cs="Arial"/>
              </w:rPr>
              <w:lastRenderedPageBreak/>
              <w:t xml:space="preserve">These could result in damage that causes the reader to be out of action for a period of time. </w:t>
            </w:r>
          </w:p>
          <w:p w:rsidR="00BD0BB2" w:rsidRDefault="00BD0BB2" w:rsidP="00BD0BB2">
            <w:pPr>
              <w:rPr>
                <w:rFonts w:ascii="Arial" w:hAnsi="Arial" w:cs="Arial"/>
              </w:rPr>
            </w:pPr>
            <w:r>
              <w:rPr>
                <w:rFonts w:ascii="Arial" w:hAnsi="Arial" w:cs="Arial"/>
              </w:rPr>
              <w:t>Incomplete dipping or incorrect position of stick will result in incorrect results being produced which may affect patient care or treatment.</w:t>
            </w:r>
          </w:p>
        </w:tc>
        <w:tc>
          <w:tcPr>
            <w:tcW w:w="3060" w:type="dxa"/>
          </w:tcPr>
          <w:p w:rsidR="00BD0BB2" w:rsidRDefault="00BD0BB2" w:rsidP="00BD0BB2">
            <w:pPr>
              <w:rPr>
                <w:rFonts w:ascii="Arial" w:hAnsi="Arial" w:cs="Arial"/>
              </w:rPr>
            </w:pPr>
            <w:r>
              <w:rPr>
                <w:rFonts w:ascii="Arial" w:hAnsi="Arial" w:cs="Arial"/>
              </w:rPr>
              <w:lastRenderedPageBreak/>
              <w:t xml:space="preserve">The SOP, flow chart and competency documents are provided on the intranet to guide staff in the correct use/maintenance of the readers. </w:t>
            </w:r>
          </w:p>
          <w:p w:rsidR="00BD0BB2" w:rsidRDefault="00BD0BB2" w:rsidP="00BD0BB2">
            <w:pPr>
              <w:rPr>
                <w:rFonts w:ascii="Arial" w:hAnsi="Arial" w:cs="Arial"/>
              </w:rPr>
            </w:pPr>
          </w:p>
          <w:p w:rsidR="00BD0BB2" w:rsidRDefault="00BD0BB2" w:rsidP="00BD0BB2">
            <w:pPr>
              <w:rPr>
                <w:rFonts w:ascii="Arial" w:hAnsi="Arial" w:cs="Arial"/>
              </w:rPr>
            </w:pP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3</w:t>
            </w:r>
          </w:p>
        </w:tc>
        <w:tc>
          <w:tcPr>
            <w:tcW w:w="37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6</w:t>
            </w:r>
          </w:p>
        </w:tc>
        <w:tc>
          <w:tcPr>
            <w:tcW w:w="2984" w:type="dxa"/>
            <w:gridSpan w:val="2"/>
          </w:tcPr>
          <w:p w:rsidR="00BD0BB2" w:rsidRDefault="00BD0BB2" w:rsidP="00BD0BB2">
            <w:pPr>
              <w:rPr>
                <w:rFonts w:ascii="Arial" w:hAnsi="Arial" w:cs="Arial"/>
                <w:sz w:val="20"/>
                <w:szCs w:val="20"/>
              </w:rPr>
            </w:pPr>
            <w:r>
              <w:rPr>
                <w:rFonts w:ascii="Arial" w:hAnsi="Arial" w:cs="Arial"/>
                <w:sz w:val="20"/>
                <w:szCs w:val="20"/>
              </w:rPr>
              <w:t xml:space="preserve">Introduce access control to allow only trained users to use the meters. </w:t>
            </w:r>
          </w:p>
          <w:p w:rsidR="00BD0BB2" w:rsidRDefault="00BD0BB2" w:rsidP="00BD0BB2">
            <w:pPr>
              <w:rPr>
                <w:rFonts w:ascii="Arial" w:hAnsi="Arial" w:cs="Arial"/>
                <w:sz w:val="20"/>
                <w:szCs w:val="20"/>
              </w:rPr>
            </w:pPr>
            <w:r>
              <w:rPr>
                <w:rFonts w:ascii="Arial" w:hAnsi="Arial" w:cs="Arial"/>
                <w:sz w:val="20"/>
                <w:szCs w:val="20"/>
              </w:rPr>
              <w:t>Train ward trainers to allow cascade training.</w:t>
            </w:r>
          </w:p>
        </w:tc>
        <w:tc>
          <w:tcPr>
            <w:tcW w:w="2268" w:type="dxa"/>
            <w:gridSpan w:val="2"/>
          </w:tcPr>
          <w:p w:rsidR="00BD0BB2" w:rsidRDefault="00BD0BB2" w:rsidP="00BD0BB2">
            <w:pPr>
              <w:rPr>
                <w:rFonts w:ascii="Arial" w:hAnsi="Arial" w:cs="Arial"/>
                <w:sz w:val="20"/>
                <w:szCs w:val="20"/>
              </w:rPr>
            </w:pPr>
            <w:r>
              <w:rPr>
                <w:rFonts w:ascii="Arial" w:hAnsi="Arial" w:cs="Arial"/>
                <w:sz w:val="20"/>
                <w:szCs w:val="20"/>
              </w:rPr>
              <w:t>N. Hodges April 2022</w:t>
            </w:r>
          </w:p>
        </w:tc>
        <w:tc>
          <w:tcPr>
            <w:tcW w:w="458" w:type="dxa"/>
            <w:gridSpan w:val="2"/>
            <w:shd w:val="clear" w:color="auto" w:fill="auto"/>
          </w:tcPr>
          <w:p w:rsidR="00BD0BB2" w:rsidRDefault="00BD0BB2" w:rsidP="00BD0BB2">
            <w:pPr>
              <w:rPr>
                <w:rFonts w:ascii="Arial" w:hAnsi="Arial" w:cs="Arial"/>
                <w:sz w:val="20"/>
                <w:szCs w:val="20"/>
              </w:rPr>
            </w:pPr>
            <w:r>
              <w:rPr>
                <w:rFonts w:ascii="Arial" w:hAnsi="Arial" w:cs="Arial"/>
                <w:sz w:val="20"/>
                <w:szCs w:val="20"/>
              </w:rPr>
              <w:t>2</w:t>
            </w:r>
          </w:p>
        </w:tc>
        <w:tc>
          <w:tcPr>
            <w:tcW w:w="458" w:type="dxa"/>
            <w:shd w:val="clear" w:color="auto" w:fill="auto"/>
          </w:tcPr>
          <w:p w:rsidR="00BD0BB2" w:rsidRDefault="00BD0BB2" w:rsidP="00BD0BB2">
            <w:pPr>
              <w:rPr>
                <w:rFonts w:ascii="Arial" w:hAnsi="Arial" w:cs="Arial"/>
                <w:sz w:val="20"/>
                <w:szCs w:val="20"/>
              </w:rPr>
            </w:pPr>
            <w:r>
              <w:rPr>
                <w:rFonts w:ascii="Arial" w:hAnsi="Arial" w:cs="Arial"/>
                <w:sz w:val="20"/>
                <w:szCs w:val="20"/>
              </w:rPr>
              <w:t>1</w:t>
            </w:r>
          </w:p>
        </w:tc>
        <w:tc>
          <w:tcPr>
            <w:tcW w:w="579" w:type="dxa"/>
            <w:gridSpan w:val="2"/>
            <w:shd w:val="clear" w:color="auto" w:fill="auto"/>
          </w:tcPr>
          <w:p w:rsidR="00BD0BB2" w:rsidRDefault="00BD0BB2" w:rsidP="00BD0BB2">
            <w:pPr>
              <w:rPr>
                <w:rFonts w:ascii="Arial" w:hAnsi="Arial" w:cs="Arial"/>
                <w:sz w:val="20"/>
                <w:szCs w:val="20"/>
              </w:rPr>
            </w:pPr>
            <w:r>
              <w:rPr>
                <w:rFonts w:ascii="Arial" w:hAnsi="Arial" w:cs="Arial"/>
                <w:sz w:val="20"/>
                <w:szCs w:val="20"/>
              </w:rPr>
              <w:t>2</w:t>
            </w:r>
          </w:p>
        </w:tc>
      </w:tr>
      <w:tr w:rsidR="00BD0BB2" w:rsidRPr="00197D59" w:rsidTr="00FF7DC9">
        <w:tc>
          <w:tcPr>
            <w:tcW w:w="3031" w:type="dxa"/>
          </w:tcPr>
          <w:p w:rsidR="00BD0BB2" w:rsidRDefault="00BD0BB2" w:rsidP="00BD0BB2">
            <w:pPr>
              <w:rPr>
                <w:rFonts w:ascii="Arial" w:hAnsi="Arial" w:cs="Arial"/>
              </w:rPr>
            </w:pPr>
            <w:r>
              <w:rPr>
                <w:rFonts w:ascii="Arial" w:hAnsi="Arial" w:cs="Arial"/>
              </w:rPr>
              <w:t>As a result of the urinalysis reader being plugged into the mains power there is a risk of electrocution to staff using the reader.</w:t>
            </w:r>
          </w:p>
        </w:tc>
        <w:tc>
          <w:tcPr>
            <w:tcW w:w="3060" w:type="dxa"/>
          </w:tcPr>
          <w:p w:rsidR="00BD0BB2" w:rsidRDefault="00BD0BB2" w:rsidP="00BD0BB2">
            <w:pPr>
              <w:rPr>
                <w:rFonts w:ascii="Arial" w:hAnsi="Arial" w:cs="Arial"/>
              </w:rPr>
            </w:pPr>
            <w:r>
              <w:rPr>
                <w:rFonts w:ascii="Arial" w:hAnsi="Arial" w:cs="Arial"/>
              </w:rPr>
              <w:t>All plugs are PAT testing yearly by the trust. Cleaning should only be done when the reader is switched off.</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1</w:t>
            </w:r>
          </w:p>
        </w:tc>
        <w:tc>
          <w:tcPr>
            <w:tcW w:w="37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2984" w:type="dxa"/>
            <w:gridSpan w:val="2"/>
          </w:tcPr>
          <w:p w:rsidR="00BD0BB2" w:rsidRDefault="00BD0BB2" w:rsidP="00BD0BB2">
            <w:pPr>
              <w:rPr>
                <w:rFonts w:ascii="Arial" w:hAnsi="Arial" w:cs="Arial"/>
                <w:sz w:val="20"/>
                <w:szCs w:val="20"/>
              </w:rPr>
            </w:pPr>
          </w:p>
        </w:tc>
        <w:tc>
          <w:tcPr>
            <w:tcW w:w="2268" w:type="dxa"/>
            <w:gridSpan w:val="2"/>
          </w:tcPr>
          <w:p w:rsidR="00BD0BB2" w:rsidRDefault="00BD0BB2" w:rsidP="00BD0BB2">
            <w:pPr>
              <w:rPr>
                <w:rFonts w:ascii="Arial" w:hAnsi="Arial" w:cs="Arial"/>
                <w:sz w:val="20"/>
                <w:szCs w:val="20"/>
              </w:rPr>
            </w:pPr>
          </w:p>
        </w:tc>
        <w:tc>
          <w:tcPr>
            <w:tcW w:w="458" w:type="dxa"/>
            <w:gridSpan w:val="2"/>
            <w:shd w:val="clear" w:color="auto" w:fill="auto"/>
          </w:tcPr>
          <w:p w:rsidR="00BD0BB2" w:rsidRDefault="00BD0BB2" w:rsidP="00BD0BB2">
            <w:pPr>
              <w:rPr>
                <w:rFonts w:ascii="Arial" w:hAnsi="Arial" w:cs="Arial"/>
                <w:sz w:val="20"/>
                <w:szCs w:val="20"/>
              </w:rPr>
            </w:pPr>
          </w:p>
        </w:tc>
        <w:tc>
          <w:tcPr>
            <w:tcW w:w="458" w:type="dxa"/>
            <w:shd w:val="clear" w:color="auto" w:fill="auto"/>
          </w:tcPr>
          <w:p w:rsidR="00BD0BB2" w:rsidRDefault="00BD0BB2" w:rsidP="00BD0BB2">
            <w:pPr>
              <w:rPr>
                <w:rFonts w:ascii="Arial" w:hAnsi="Arial" w:cs="Arial"/>
                <w:sz w:val="20"/>
                <w:szCs w:val="20"/>
              </w:rPr>
            </w:pPr>
          </w:p>
        </w:tc>
        <w:tc>
          <w:tcPr>
            <w:tcW w:w="579" w:type="dxa"/>
            <w:gridSpan w:val="2"/>
            <w:shd w:val="clear" w:color="auto" w:fill="auto"/>
          </w:tcPr>
          <w:p w:rsidR="00BD0BB2" w:rsidRDefault="00BD0BB2" w:rsidP="00BD0BB2">
            <w:pPr>
              <w:rPr>
                <w:rFonts w:ascii="Arial" w:hAnsi="Arial" w:cs="Arial"/>
                <w:sz w:val="20"/>
                <w:szCs w:val="20"/>
              </w:rPr>
            </w:pPr>
          </w:p>
        </w:tc>
      </w:tr>
      <w:tr w:rsidR="00BD0BB2" w:rsidRPr="00197D59" w:rsidTr="00FF7DC9">
        <w:tc>
          <w:tcPr>
            <w:tcW w:w="3031" w:type="dxa"/>
          </w:tcPr>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r>
              <w:rPr>
                <w:rFonts w:ascii="Arial" w:hAnsi="Arial" w:cs="Arial"/>
              </w:rPr>
              <w:t>As a result of manual transcription there is a risk of the results being transcribed into the patients notes incorrectly.</w:t>
            </w: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p w:rsidR="00BD0BB2" w:rsidRDefault="00BD0BB2" w:rsidP="00BD0BB2">
            <w:pPr>
              <w:rPr>
                <w:rFonts w:ascii="Arial" w:hAnsi="Arial" w:cs="Arial"/>
                <w:sz w:val="20"/>
                <w:szCs w:val="20"/>
              </w:rPr>
            </w:pPr>
          </w:p>
        </w:tc>
        <w:tc>
          <w:tcPr>
            <w:tcW w:w="3060" w:type="dxa"/>
          </w:tcPr>
          <w:p w:rsidR="00BD0BB2" w:rsidRDefault="00BD0BB2" w:rsidP="00BD0BB2">
            <w:pPr>
              <w:rPr>
                <w:rFonts w:ascii="Arial" w:hAnsi="Arial" w:cs="Arial"/>
              </w:rPr>
            </w:pPr>
            <w:r>
              <w:rPr>
                <w:rFonts w:ascii="Arial" w:hAnsi="Arial" w:cs="Arial"/>
              </w:rPr>
              <w:t>The results are printed onto paper which can be taken to the patient notes to be transcribed and double checked.</w:t>
            </w:r>
          </w:p>
          <w:p w:rsidR="00BD0BB2" w:rsidRDefault="00BD0BB2" w:rsidP="00BD0BB2">
            <w:pPr>
              <w:rPr>
                <w:rFonts w:ascii="Arial" w:hAnsi="Arial" w:cs="Arial"/>
              </w:rPr>
            </w:pPr>
            <w:r>
              <w:rPr>
                <w:rFonts w:ascii="Arial" w:hAnsi="Arial" w:cs="Arial"/>
              </w:rPr>
              <w:t xml:space="preserve">Patient ID should be entered into the reader for every sample so it can be retrieved after analysis if required for confirmation. </w:t>
            </w:r>
          </w:p>
          <w:p w:rsidR="00BD0BB2" w:rsidRDefault="00BD0BB2" w:rsidP="00BD0BB2">
            <w:pPr>
              <w:rPr>
                <w:rFonts w:ascii="Arial" w:hAnsi="Arial" w:cs="Arial"/>
                <w:sz w:val="20"/>
                <w:szCs w:val="20"/>
              </w:rPr>
            </w:pPr>
            <w:r>
              <w:rPr>
                <w:rFonts w:ascii="Arial" w:hAnsi="Arial" w:cs="Arial"/>
              </w:rPr>
              <w:t>Trained individuals only should perform analyses on ward. Competence must be assessed</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2</w:t>
            </w:r>
          </w:p>
        </w:tc>
        <w:tc>
          <w:tcPr>
            <w:tcW w:w="42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3</w:t>
            </w:r>
          </w:p>
        </w:tc>
        <w:tc>
          <w:tcPr>
            <w:tcW w:w="375" w:type="dxa"/>
            <w:shd w:val="clear" w:color="auto" w:fill="auto"/>
          </w:tcPr>
          <w:p w:rsidR="00BD0BB2" w:rsidRDefault="00BD0BB2" w:rsidP="00BD0BB2">
            <w:pPr>
              <w:jc w:val="center"/>
              <w:rPr>
                <w:rFonts w:ascii="Arial" w:hAnsi="Arial" w:cs="Arial"/>
                <w:sz w:val="20"/>
                <w:szCs w:val="20"/>
              </w:rPr>
            </w:pPr>
            <w:r>
              <w:rPr>
                <w:rFonts w:ascii="Arial" w:hAnsi="Arial" w:cs="Arial"/>
                <w:sz w:val="20"/>
                <w:szCs w:val="20"/>
              </w:rPr>
              <w:t>6</w:t>
            </w:r>
          </w:p>
        </w:tc>
        <w:tc>
          <w:tcPr>
            <w:tcW w:w="2984" w:type="dxa"/>
            <w:gridSpan w:val="2"/>
          </w:tcPr>
          <w:p w:rsidR="00BD0BB2" w:rsidRDefault="00BD0BB2" w:rsidP="00BD0BB2">
            <w:pPr>
              <w:rPr>
                <w:rFonts w:ascii="Arial" w:hAnsi="Arial" w:cs="Arial"/>
                <w:sz w:val="20"/>
                <w:szCs w:val="20"/>
              </w:rPr>
            </w:pPr>
            <w:r>
              <w:rPr>
                <w:rFonts w:ascii="Arial" w:hAnsi="Arial" w:cs="Arial"/>
                <w:sz w:val="20"/>
                <w:szCs w:val="20"/>
              </w:rPr>
              <w:t>To move results electronically into the patient record.</w:t>
            </w:r>
          </w:p>
        </w:tc>
        <w:tc>
          <w:tcPr>
            <w:tcW w:w="2268" w:type="dxa"/>
            <w:gridSpan w:val="2"/>
          </w:tcPr>
          <w:p w:rsidR="00BD0BB2" w:rsidRDefault="00BD0BB2" w:rsidP="00BD0BB2">
            <w:pPr>
              <w:rPr>
                <w:rFonts w:ascii="Arial" w:hAnsi="Arial" w:cs="Arial"/>
                <w:sz w:val="20"/>
                <w:szCs w:val="20"/>
              </w:rPr>
            </w:pPr>
            <w:r>
              <w:rPr>
                <w:rFonts w:ascii="Arial" w:hAnsi="Arial" w:cs="Arial"/>
                <w:sz w:val="20"/>
                <w:szCs w:val="20"/>
              </w:rPr>
              <w:t>April 2022</w:t>
            </w:r>
          </w:p>
        </w:tc>
        <w:tc>
          <w:tcPr>
            <w:tcW w:w="458" w:type="dxa"/>
            <w:gridSpan w:val="2"/>
            <w:shd w:val="clear" w:color="auto" w:fill="auto"/>
          </w:tcPr>
          <w:p w:rsidR="00BD0BB2" w:rsidRDefault="00BD0BB2" w:rsidP="00BD0BB2">
            <w:pPr>
              <w:rPr>
                <w:rFonts w:ascii="Arial" w:hAnsi="Arial" w:cs="Arial"/>
                <w:sz w:val="20"/>
                <w:szCs w:val="20"/>
              </w:rPr>
            </w:pPr>
            <w:r>
              <w:rPr>
                <w:rFonts w:ascii="Arial" w:hAnsi="Arial" w:cs="Arial"/>
                <w:sz w:val="20"/>
                <w:szCs w:val="20"/>
              </w:rPr>
              <w:t>2</w:t>
            </w:r>
          </w:p>
        </w:tc>
        <w:tc>
          <w:tcPr>
            <w:tcW w:w="458" w:type="dxa"/>
            <w:shd w:val="clear" w:color="auto" w:fill="auto"/>
          </w:tcPr>
          <w:p w:rsidR="00BD0BB2" w:rsidRDefault="00BD0BB2" w:rsidP="00BD0BB2">
            <w:pPr>
              <w:rPr>
                <w:rFonts w:ascii="Arial" w:hAnsi="Arial" w:cs="Arial"/>
                <w:sz w:val="20"/>
                <w:szCs w:val="20"/>
              </w:rPr>
            </w:pPr>
            <w:r>
              <w:rPr>
                <w:rFonts w:ascii="Arial" w:hAnsi="Arial" w:cs="Arial"/>
                <w:sz w:val="20"/>
                <w:szCs w:val="20"/>
              </w:rPr>
              <w:t>1</w:t>
            </w:r>
          </w:p>
        </w:tc>
        <w:tc>
          <w:tcPr>
            <w:tcW w:w="579" w:type="dxa"/>
            <w:gridSpan w:val="2"/>
            <w:shd w:val="clear" w:color="auto" w:fill="auto"/>
          </w:tcPr>
          <w:p w:rsidR="00BD0BB2" w:rsidRDefault="00BD0BB2" w:rsidP="00BD0BB2">
            <w:pPr>
              <w:rPr>
                <w:rFonts w:ascii="Arial" w:hAnsi="Arial" w:cs="Arial"/>
                <w:sz w:val="20"/>
                <w:szCs w:val="20"/>
              </w:rPr>
            </w:pPr>
            <w:r>
              <w:rPr>
                <w:rFonts w:ascii="Arial" w:hAnsi="Arial" w:cs="Arial"/>
                <w:sz w:val="20"/>
                <w:szCs w:val="20"/>
              </w:rPr>
              <w:t>2</w:t>
            </w: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FD" w:rsidRDefault="00DE47FD" w:rsidP="00FC4C1F">
      <w:pPr>
        <w:spacing w:after="0" w:line="240" w:lineRule="auto"/>
      </w:pPr>
      <w:r>
        <w:separator/>
      </w:r>
    </w:p>
  </w:endnote>
  <w:endnote w:type="continuationSeparator" w:id="0">
    <w:p w:rsidR="00DE47FD" w:rsidRDefault="00DE47FD"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1D2E89" w:rsidP="001D2E89">
          <w:pPr>
            <w:pStyle w:val="Footer"/>
            <w:rPr>
              <w:rFonts w:ascii="Arial" w:hAnsi="Arial" w:cs="Arial"/>
              <w:sz w:val="20"/>
            </w:rPr>
          </w:pPr>
          <w:r>
            <w:rPr>
              <w:rFonts w:ascii="Arial" w:hAnsi="Arial" w:cs="Arial"/>
              <w:sz w:val="20"/>
            </w:rPr>
            <w:t>Author: N. Hodges</w:t>
          </w:r>
          <w:r w:rsidR="00197D59" w:rsidRPr="00E95D5F">
            <w:rPr>
              <w:rFonts w:ascii="Arial" w:hAnsi="Arial" w:cs="Arial"/>
              <w:sz w:val="20"/>
            </w:rPr>
            <w:t xml:space="preserve"> </w:t>
          </w:r>
        </w:p>
      </w:tc>
      <w:tc>
        <w:tcPr>
          <w:tcW w:w="3678" w:type="dxa"/>
        </w:tcPr>
        <w:p w:rsidR="00197D59" w:rsidRPr="00E95D5F" w:rsidRDefault="00E61C41" w:rsidP="001D2E89">
          <w:pPr>
            <w:pStyle w:val="Footer"/>
            <w:ind w:firstLine="36"/>
            <w:rPr>
              <w:rFonts w:ascii="Arial" w:hAnsi="Arial" w:cs="Arial"/>
              <w:sz w:val="20"/>
            </w:rPr>
          </w:pPr>
          <w:r>
            <w:rPr>
              <w:rFonts w:ascii="Arial" w:hAnsi="Arial" w:cs="Arial"/>
              <w:sz w:val="20"/>
            </w:rPr>
            <w:t>Edition No: 3</w:t>
          </w:r>
        </w:p>
      </w:tc>
    </w:tr>
    <w:tr w:rsidR="00197D59" w:rsidRPr="00E95D5F" w:rsidTr="00197D59">
      <w:trPr>
        <w:trHeight w:val="250"/>
        <w:jc w:val="center"/>
      </w:trPr>
      <w:tc>
        <w:tcPr>
          <w:tcW w:w="5098" w:type="dxa"/>
        </w:tcPr>
        <w:p w:rsidR="00197D59" w:rsidRPr="00E95D5F" w:rsidRDefault="00197D59" w:rsidP="001D2E89">
          <w:pPr>
            <w:pStyle w:val="Footer"/>
            <w:ind w:right="-254"/>
            <w:rPr>
              <w:rFonts w:ascii="Arial" w:hAnsi="Arial" w:cs="Arial"/>
              <w:sz w:val="20"/>
            </w:rPr>
          </w:pPr>
          <w:r w:rsidRPr="00E95D5F">
            <w:rPr>
              <w:rFonts w:ascii="Arial" w:hAnsi="Arial" w:cs="Arial"/>
              <w:sz w:val="20"/>
            </w:rPr>
            <w:t xml:space="preserve">Approved by: </w:t>
          </w:r>
          <w:r w:rsidR="001D2E89">
            <w:rPr>
              <w:rFonts w:ascii="Arial" w:hAnsi="Arial" w:cs="Arial"/>
              <w:sz w:val="20"/>
            </w:rPr>
            <w:t>K. Halladay</w:t>
          </w:r>
          <w:r w:rsidRPr="00E95D5F">
            <w:rPr>
              <w:rFonts w:ascii="Arial" w:hAnsi="Arial" w:cs="Arial"/>
              <w:sz w:val="20"/>
            </w:rPr>
            <w:tab/>
            <w:t xml:space="preserve">                                                  </w:t>
          </w:r>
        </w:p>
      </w:tc>
      <w:tc>
        <w:tcPr>
          <w:tcW w:w="3678" w:type="dxa"/>
        </w:tcPr>
        <w:p w:rsidR="00197D59" w:rsidRPr="00E95D5F" w:rsidRDefault="00BD0BB2" w:rsidP="001D2E89">
          <w:pPr>
            <w:pStyle w:val="Footer"/>
            <w:ind w:firstLine="36"/>
            <w:rPr>
              <w:rFonts w:ascii="Arial" w:hAnsi="Arial" w:cs="Arial"/>
              <w:sz w:val="20"/>
            </w:rPr>
          </w:pPr>
          <w:r>
            <w:rPr>
              <w:rFonts w:ascii="Arial" w:hAnsi="Arial" w:cs="Arial"/>
              <w:sz w:val="20"/>
            </w:rPr>
            <w:t>Active Date: 20/3/2022</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DE47FD">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DE47FD">
            <w:rPr>
              <w:rFonts w:ascii="Arial" w:hAnsi="Arial" w:cs="Arial"/>
              <w:b/>
              <w:bCs/>
              <w:noProof/>
              <w:sz w:val="20"/>
            </w:rPr>
            <w:t>1</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FD" w:rsidRDefault="00DE47FD" w:rsidP="00FC4C1F">
      <w:pPr>
        <w:spacing w:after="0" w:line="240" w:lineRule="auto"/>
      </w:pPr>
      <w:r>
        <w:separator/>
      </w:r>
    </w:p>
  </w:footnote>
  <w:footnote w:type="continuationSeparator" w:id="0">
    <w:p w:rsidR="00DE47FD" w:rsidRDefault="00DE47FD"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E95D5F" w:rsidRPr="004A37DE">
      <w:rPr>
        <w:rFonts w:ascii="Arial" w:hAnsi="Arial" w:cs="Arial"/>
      </w:rPr>
      <w:t>[RA/</w:t>
    </w:r>
    <w:r w:rsidR="001D2E89">
      <w:rPr>
        <w:rFonts w:ascii="Arial" w:hAnsi="Arial" w:cs="Arial"/>
      </w:rPr>
      <w:t>POCT/6</w:t>
    </w:r>
    <w:r w:rsidRPr="004A37DE">
      <w:rPr>
        <w:rFonts w:ascii="Arial" w:hAnsi="Arial" w:cs="Arial"/>
      </w:rPr>
      <w:t>]</w:t>
    </w:r>
  </w:p>
  <w:p w:rsidR="00123098" w:rsidRPr="00E95D5F" w:rsidRDefault="00123098" w:rsidP="00123098">
    <w:pPr>
      <w:pStyle w:val="Header"/>
      <w:rPr>
        <w:sz w:val="14"/>
        <w:szCs w:val="16"/>
      </w:rPr>
    </w:pPr>
  </w:p>
  <w:tbl>
    <w:tblPr>
      <w:tblStyle w:val="TableGrid"/>
      <w:tblW w:w="16895"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57"/>
      <w:gridCol w:w="5838"/>
    </w:tblGrid>
    <w:tr w:rsidR="00123098" w:rsidRPr="00E95D5F" w:rsidTr="001D2E89">
      <w:tc>
        <w:tcPr>
          <w:tcW w:w="11057" w:type="dxa"/>
        </w:tcPr>
        <w:p w:rsidR="00123098" w:rsidRPr="00E95D5F" w:rsidRDefault="00E95D5F" w:rsidP="00E95D5F">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1D2E89" w:rsidRPr="001F5BA0">
            <w:rPr>
              <w:rFonts w:ascii="Arial" w:hAnsi="Arial"/>
            </w:rPr>
            <w:t>Uryxxon Relax urinalysis readers – used with Combi 8 urine dip sticks</w:t>
          </w:r>
        </w:p>
      </w:tc>
      <w:tc>
        <w:tcPr>
          <w:tcW w:w="5838"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25CB6"/>
    <w:rsid w:val="000E6548"/>
    <w:rsid w:val="00101337"/>
    <w:rsid w:val="00123098"/>
    <w:rsid w:val="00154CC5"/>
    <w:rsid w:val="00176E7E"/>
    <w:rsid w:val="00182367"/>
    <w:rsid w:val="00197D59"/>
    <w:rsid w:val="001B2D5D"/>
    <w:rsid w:val="001D2E89"/>
    <w:rsid w:val="002102E1"/>
    <w:rsid w:val="00283DF1"/>
    <w:rsid w:val="002E2A28"/>
    <w:rsid w:val="00326A78"/>
    <w:rsid w:val="003320FB"/>
    <w:rsid w:val="0036344A"/>
    <w:rsid w:val="003D5E2F"/>
    <w:rsid w:val="004A37DE"/>
    <w:rsid w:val="004E0EE7"/>
    <w:rsid w:val="00621789"/>
    <w:rsid w:val="006312FE"/>
    <w:rsid w:val="00692653"/>
    <w:rsid w:val="006C7014"/>
    <w:rsid w:val="007D2848"/>
    <w:rsid w:val="00801F96"/>
    <w:rsid w:val="008C769C"/>
    <w:rsid w:val="009918A3"/>
    <w:rsid w:val="00A83620"/>
    <w:rsid w:val="00B13718"/>
    <w:rsid w:val="00BD0BB2"/>
    <w:rsid w:val="00BE1BDA"/>
    <w:rsid w:val="00CA1236"/>
    <w:rsid w:val="00CB12D1"/>
    <w:rsid w:val="00CD3CBE"/>
    <w:rsid w:val="00DD0D63"/>
    <w:rsid w:val="00DD6BE9"/>
    <w:rsid w:val="00DE47FD"/>
    <w:rsid w:val="00E15821"/>
    <w:rsid w:val="00E61C41"/>
    <w:rsid w:val="00E71A3D"/>
    <w:rsid w:val="00E75298"/>
    <w:rsid w:val="00E95D5F"/>
    <w:rsid w:val="00EE0E3C"/>
    <w:rsid w:val="00EE423E"/>
    <w:rsid w:val="00F742A6"/>
    <w:rsid w:val="00F84F96"/>
    <w:rsid w:val="00FC4C1F"/>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23D6-810B-4C6B-92AB-3213CC99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6</cp:revision>
  <dcterms:created xsi:type="dcterms:W3CDTF">2021-02-22T09:10:00Z</dcterms:created>
  <dcterms:modified xsi:type="dcterms:W3CDTF">2022-05-18T14:57:00Z</dcterms:modified>
</cp:coreProperties>
</file>